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A7C5B">
      <w:pPr>
        <w:pStyle w:val="132"/>
        <w:kinsoku/>
        <w:wordWrap/>
        <w:overflowPunct/>
        <w:topLinePunct w:val="0"/>
        <w:bidi w:val="0"/>
        <w:snapToGrid/>
        <w:spacing w:line="360" w:lineRule="auto"/>
        <w:rPr>
          <w:rFonts w:hint="default" w:ascii="Times New Roman" w:hAnsi="Times New Roman" w:eastAsia="黑体" w:cs="Times New Roman"/>
          <w:szCs w:val="20"/>
          <w:lang w:val="en-US" w:eastAsia="zh-CN"/>
        </w:rPr>
      </w:pPr>
      <w:bookmarkStart w:id="0" w:name="_Toc525046548"/>
      <w:bookmarkStart w:id="1" w:name="_Toc530051741"/>
      <w:bookmarkStart w:id="2" w:name="_Toc509826185"/>
      <w:bookmarkStart w:id="3" w:name="_Toc873628"/>
      <w:r>
        <w:rPr>
          <w:rFonts w:hint="default" w:ascii="Times New Roman" w:hAnsi="Times New Roman" w:cs="Times New Roman"/>
        </w:rPr>
        <mc:AlternateContent>
          <mc:Choice Requires="wps">
            <w:drawing>
              <wp:anchor distT="0" distB="0" distL="114300" distR="114300" simplePos="0" relativeHeight="251661312" behindDoc="0" locked="1" layoutInCell="1" allowOverlap="1">
                <wp:simplePos x="0" y="0"/>
                <wp:positionH relativeFrom="margin">
                  <wp:posOffset>-41275</wp:posOffset>
                </wp:positionH>
                <wp:positionV relativeFrom="margin">
                  <wp:posOffset>8917940</wp:posOffset>
                </wp:positionV>
                <wp:extent cx="5977890" cy="363220"/>
                <wp:effectExtent l="0" t="0" r="3810" b="17780"/>
                <wp:wrapNone/>
                <wp:docPr id="11"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5977890" cy="363220"/>
                        </a:xfrm>
                        <a:prstGeom prst="rect">
                          <a:avLst/>
                        </a:prstGeom>
                        <a:solidFill>
                          <a:srgbClr val="FFFFFF"/>
                        </a:solidFill>
                        <a:ln>
                          <a:noFill/>
                        </a:ln>
                      </wps:spPr>
                      <wps:txbx>
                        <w:txbxContent>
                          <w:p w14:paraId="7FB242D3">
                            <w:pPr>
                              <w:pStyle w:val="118"/>
                            </w:pPr>
                            <w:r>
                              <w:rPr>
                                <w:rFonts w:hint="eastAsia"/>
                                <w:sz w:val="36"/>
                                <w:szCs w:val="36"/>
                              </w:rPr>
                              <w:t>中国建筑材料联合会</w:t>
                            </w:r>
                            <w:r>
                              <w:rPr>
                                <w:rStyle w:val="79"/>
                                <w:rFonts w:hint="eastAsia"/>
                              </w:rPr>
                              <w:t>发布</w:t>
                            </w:r>
                          </w:p>
                        </w:txbxContent>
                      </wps:txbx>
                      <wps:bodyPr rot="0" vert="horz" wrap="square" lIns="0" tIns="0" rIns="0" bIns="0" anchor="t" anchorCtr="0" upright="1">
                        <a:noAutofit/>
                      </wps:bodyPr>
                    </wps:wsp>
                  </a:graphicData>
                </a:graphic>
              </wp:anchor>
            </w:drawing>
          </mc:Choice>
          <mc:Fallback>
            <w:pict>
              <v:shape id="文本框 21" o:spid="_x0000_s1026" o:spt="202" type="#_x0000_t202" style="position:absolute;left:0pt;margin-left:-3.25pt;margin-top:702.2pt;height:28.6pt;width:470.7pt;mso-position-horizontal-relative:margin;mso-position-vertical-relative:margin;z-index:251661312;mso-width-relative:page;mso-height-relative:page;" fillcolor="#FFFFFF" filled="t" stroked="f" coordsize="21600,21600" o:gfxdata="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GpsymdoAAAAMAQAADwAAAAAAAAABACAAAAAiAAAAZHJzL2Rvd25yZXYueG1sUEsBAhQAFAAAAAgA&#10;h07iQMySvbojAgAAMAQAAA4AAAAAAAAAAQAgAAAAKQEAAGRycy9lMm9Eb2MueG1sUEsFBgAAAAAG&#10;AAYAWQEAAL4FAAAAAA==&#10;">
                <v:fill on="t" focussize="0,0"/>
                <v:stroke on="f"/>
                <v:imagedata o:title=""/>
                <o:lock v:ext="edit" aspectratio="f"/>
                <v:textbox inset="0mm,0mm,0mm,0mm">
                  <w:txbxContent>
                    <w:p w14:paraId="7FB242D3">
                      <w:pPr>
                        <w:pStyle w:val="118"/>
                      </w:pPr>
                      <w:r>
                        <w:rPr>
                          <w:rFonts w:hint="eastAsia"/>
                          <w:sz w:val="36"/>
                          <w:szCs w:val="36"/>
                        </w:rPr>
                        <w:t>中国建筑材料联合会</w:t>
                      </w:r>
                      <w:r>
                        <w:rPr>
                          <w:rStyle w:val="79"/>
                          <w:rFonts w:hint="eastAsia"/>
                        </w:rPr>
                        <w:t>发布</w:t>
                      </w:r>
                    </w:p>
                  </w:txbxContent>
                </v:textbox>
                <w10:anchorlock/>
              </v:shape>
            </w:pict>
          </mc:Fallback>
        </mc:AlternateContent>
      </w:r>
      <w:r>
        <w:rPr>
          <w:rFonts w:hint="default" w:ascii="Times New Roman" w:hAnsi="Times New Roman" w:cs="Times New Roman"/>
          <w:szCs w:val="20"/>
        </w:rPr>
        <w:t>ICS 13.0</w:t>
      </w:r>
      <w:r>
        <w:rPr>
          <w:rFonts w:hint="default" w:ascii="Times New Roman" w:hAnsi="Times New Roman" w:cs="Times New Roman"/>
          <w:szCs w:val="20"/>
          <w:lang w:val="en-US" w:eastAsia="zh-CN"/>
        </w:rPr>
        <w:t>2</w:t>
      </w:r>
      <w:r>
        <w:rPr>
          <w:rFonts w:hint="default" w:ascii="Times New Roman" w:hAnsi="Times New Roman" w:cs="Times New Roman"/>
          <w:szCs w:val="20"/>
        </w:rPr>
        <w:t>0.</w:t>
      </w:r>
      <w:r>
        <w:rPr>
          <w:rFonts w:hint="default" w:ascii="Times New Roman" w:hAnsi="Times New Roman" w:cs="Times New Roman"/>
          <w:szCs w:val="20"/>
          <w:lang w:val="en-US" w:eastAsia="zh-CN"/>
        </w:rPr>
        <w:t>01</w:t>
      </w:r>
    </w:p>
    <w:p w14:paraId="616E64C2">
      <w:pPr>
        <w:pStyle w:val="132"/>
        <w:kinsoku/>
        <w:wordWrap/>
        <w:overflowPunct/>
        <w:topLinePunct w:val="0"/>
        <w:bidi w:val="0"/>
        <w:snapToGrid/>
        <w:spacing w:line="360" w:lineRule="auto"/>
        <w:rPr>
          <w:rFonts w:hint="default" w:ascii="Times New Roman" w:hAnsi="Times New Roman" w:eastAsia="黑体" w:cs="Times New Roman"/>
          <w:szCs w:val="20"/>
          <w:lang w:val="en-US" w:eastAsia="zh-CN"/>
        </w:rPr>
      </w:pPr>
      <w:r>
        <w:rPr>
          <w:rFonts w:hint="default" w:ascii="Times New Roman" w:hAnsi="Times New Roman" w:cs="Times New Roman"/>
          <w:szCs w:val="20"/>
          <w:lang w:val="en-US" w:eastAsia="zh-CN"/>
        </w:rPr>
        <w:t>Q 10</w:t>
      </w:r>
    </w:p>
    <w:p w14:paraId="3D843360">
      <w:pPr>
        <w:kinsoku/>
        <w:wordWrap/>
        <w:overflowPunct/>
        <w:topLinePunct w:val="0"/>
        <w:bidi w:val="0"/>
        <w:snapToGrid/>
        <w:spacing w:line="360" w:lineRule="auto"/>
        <w:jc w:val="distribute"/>
        <w:rPr>
          <w:rFonts w:hint="default" w:ascii="Times New Roman" w:hAnsi="Times New Roman" w:eastAsia="黑体" w:cs="Times New Roman"/>
          <w:sz w:val="52"/>
          <w:szCs w:val="52"/>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3922395</wp:posOffset>
                </wp:positionH>
                <wp:positionV relativeFrom="paragraph">
                  <wp:posOffset>-121285</wp:posOffset>
                </wp:positionV>
                <wp:extent cx="2011045" cy="891540"/>
                <wp:effectExtent l="0" t="0" r="8255" b="3810"/>
                <wp:wrapNone/>
                <wp:docPr id="10" name="Text Box 396"/>
                <wp:cNvGraphicFramePr/>
                <a:graphic xmlns:a="http://schemas.openxmlformats.org/drawingml/2006/main">
                  <a:graphicData uri="http://schemas.microsoft.com/office/word/2010/wordprocessingShape">
                    <wps:wsp>
                      <wps:cNvSpPr txBox="1">
                        <a:spLocks noChangeArrowheads="1"/>
                      </wps:cNvSpPr>
                      <wps:spPr bwMode="auto">
                        <a:xfrm>
                          <a:off x="0" y="0"/>
                          <a:ext cx="2011045" cy="891540"/>
                        </a:xfrm>
                        <a:prstGeom prst="rect">
                          <a:avLst/>
                        </a:prstGeom>
                        <a:solidFill>
                          <a:srgbClr val="FFFFFF"/>
                        </a:solidFill>
                        <a:ln>
                          <a:noFill/>
                        </a:ln>
                      </wps:spPr>
                      <wps:txbx>
                        <w:txbxContent>
                          <w:p w14:paraId="5D41C839">
                            <w:pPr>
                              <w:pStyle w:val="72"/>
                              <w:rPr>
                                <w:spacing w:val="-20"/>
                                <w:w w:val="90"/>
                              </w:rPr>
                            </w:pPr>
                            <w:r>
                              <w:rPr>
                                <w:rFonts w:hint="eastAsia"/>
                                <w:spacing w:val="-20"/>
                                <w:w w:val="90"/>
                              </w:rPr>
                              <w:t>CBMF</w:t>
                            </w:r>
                          </w:p>
                        </w:txbxContent>
                      </wps:txbx>
                      <wps:bodyPr rot="0" vert="horz" wrap="square" lIns="91440" tIns="45720" rIns="91440" bIns="45720" anchor="t" anchorCtr="0" upright="1">
                        <a:noAutofit/>
                      </wps:bodyPr>
                    </wps:wsp>
                  </a:graphicData>
                </a:graphic>
              </wp:anchor>
            </w:drawing>
          </mc:Choice>
          <mc:Fallback>
            <w:pict>
              <v:shape id="Text Box 396" o:spid="_x0000_s1026" o:spt="202" type="#_x0000_t202" style="position:absolute;left:0pt;margin-left:308.85pt;margin-top:-9.55pt;height:70.2pt;width:158.35pt;z-index:251659264;mso-width-relative:page;mso-height-relative:page;" fillcolor="#FFFFFF" filled="t" stroked="f" coordsize="21600,21600" o:gfxdata="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BEp6bZAAAA&#10;CwEAAA8AAAAAAAAAAQAgAAAAIgAAAGRycy9kb3ducmV2LnhtbFBLAQIUABQAAAAIAIdO4kAGtsFQ&#10;HAIAAEAEAAAOAAAAAAAAAAEAIAAAACgBAABkcnMvZTJvRG9jLnhtbFBLBQYAAAAABgAGAFkBAAC2&#10;BQAAAAA=&#10;">
                <v:fill on="t" focussize="0,0"/>
                <v:stroke on="f"/>
                <v:imagedata o:title=""/>
                <o:lock v:ext="edit" aspectratio="f"/>
                <v:textbox>
                  <w:txbxContent>
                    <w:p w14:paraId="5D41C839">
                      <w:pPr>
                        <w:pStyle w:val="72"/>
                        <w:rPr>
                          <w:spacing w:val="-20"/>
                          <w:w w:val="90"/>
                        </w:rPr>
                      </w:pPr>
                      <w:r>
                        <w:rPr>
                          <w:rFonts w:hint="eastAsia"/>
                          <w:spacing w:val="-20"/>
                          <w:w w:val="90"/>
                        </w:rPr>
                        <w:t>CBMF</w:t>
                      </w:r>
                    </w:p>
                  </w:txbxContent>
                </v:textbox>
              </v:shape>
            </w:pict>
          </mc:Fallback>
        </mc:AlternateContent>
      </w:r>
      <w:r>
        <w:rPr>
          <w:rFonts w:hint="default" w:ascii="Times New Roman" w:hAnsi="Times New Roman" w:eastAsia="黑体" w:cs="Times New Roman"/>
          <w:sz w:val="52"/>
          <w:szCs w:val="52"/>
        </w:rPr>
        <w:t>中国建筑材料协会标准</w:t>
      </w:r>
    </w:p>
    <w:p w14:paraId="6E88E265">
      <w:pPr>
        <w:pStyle w:val="26"/>
        <w:kinsoku/>
        <w:wordWrap/>
        <w:overflowPunct/>
        <w:topLinePunct w:val="0"/>
        <w:bidi w:val="0"/>
        <w:snapToGrid/>
        <w:spacing w:line="360" w:lineRule="auto"/>
        <w:ind w:right="-2" w:firstLine="0" w:firstLineChars="0"/>
        <w:jc w:val="right"/>
        <w:rPr>
          <w:rFonts w:hint="default" w:ascii="Times New Roman" w:hAnsi="Times New Roman" w:eastAsia="黑体" w:cs="Times New Roman"/>
          <w:b/>
          <w:sz w:val="24"/>
          <w:szCs w:val="24"/>
        </w:rPr>
      </w:pPr>
      <w:r>
        <w:rPr>
          <w:rFonts w:hint="default" w:ascii="Times New Roman" w:hAnsi="Times New Roman" w:eastAsia="宋体" w:cs="Times New Roman"/>
          <w:kern w:val="0"/>
          <w:sz w:val="28"/>
          <w:szCs w:val="20"/>
        </w:rPr>
        <w:t>T/CBMF XX-XXXX</w:t>
      </w:r>
    </w:p>
    <w:p w14:paraId="52A9B6F7">
      <w:pPr>
        <w:pStyle w:val="26"/>
        <w:kinsoku/>
        <w:wordWrap/>
        <w:overflowPunct/>
        <w:topLinePunct w:val="0"/>
        <w:bidi w:val="0"/>
        <w:snapToGrid/>
        <w:spacing w:line="360" w:lineRule="auto"/>
        <w:ind w:right="420" w:rightChars="200" w:firstLine="0" w:firstLineChars="0"/>
        <w:jc w:val="right"/>
        <w:rPr>
          <w:rFonts w:hint="default" w:ascii="Times New Roman" w:hAnsi="Times New Roman" w:eastAsia="黑体" w:cs="Times New Roman"/>
          <w:sz w:val="44"/>
          <w:szCs w:val="44"/>
        </w:r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-74930</wp:posOffset>
                </wp:positionH>
                <wp:positionV relativeFrom="paragraph">
                  <wp:posOffset>216535</wp:posOffset>
                </wp:positionV>
                <wp:extent cx="6121400" cy="0"/>
                <wp:effectExtent l="0" t="6350" r="0" b="6350"/>
                <wp:wrapNone/>
                <wp:docPr id="12" name="直接连接符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22" o:spid="_x0000_s1026" o:spt="20" style="position:absolute;left:0pt;margin-left:-5.9pt;margin-top:17.05pt;height:0pt;width:482pt;z-index:251660288;mso-width-relative:page;mso-height-relative:page;" filled="f" stroked="t" coordsize="21600,21600" o:gfxdata="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DiLcLYAAAA&#10;CQEAAA8AAAAAAAAAAQAgAAAAIgAAAGRycy9kb3ducmV2LnhtbFBLAQIUABQAAAAIAIdO4kDyAkKO&#10;5AEAAK0DAAAOAAAAAAAAAAEAIAAAACcBAABkcnMvZTJvRG9jLnhtbFBLBQYAAAAABgAGAFkBAAB9&#10;BQAAAAA=&#10;">
                <v:fill on="f" focussize="0,0"/>
                <v:stroke weight="1pt" color="#080000" joinstyle="round"/>
                <v:imagedata o:title=""/>
                <o:lock v:ext="edit" aspectratio="f"/>
              </v:line>
            </w:pict>
          </mc:Fallback>
        </mc:AlternateContent>
      </w:r>
    </w:p>
    <w:p w14:paraId="6AE15FD7">
      <w:pPr>
        <w:pStyle w:val="26"/>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rPr>
      </w:pPr>
    </w:p>
    <w:p w14:paraId="5E7A5FFC">
      <w:pPr>
        <w:pStyle w:val="26"/>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rPr>
      </w:pPr>
    </w:p>
    <w:p w14:paraId="588C9E21">
      <w:pPr>
        <w:pStyle w:val="26"/>
        <w:kinsoku/>
        <w:wordWrap/>
        <w:overflowPunct/>
        <w:topLinePunct w:val="0"/>
        <w:bidi w:val="0"/>
        <w:snapToGrid/>
        <w:spacing w:line="360" w:lineRule="auto"/>
        <w:ind w:firstLine="0" w:firstLineChars="0"/>
        <w:jc w:val="center"/>
        <w:rPr>
          <w:rFonts w:hint="default" w:ascii="Times New Roman" w:hAnsi="Times New Roman" w:eastAsia="黑体" w:cs="Times New Roman"/>
          <w:color w:val="000000"/>
          <w:kern w:val="2"/>
          <w:sz w:val="44"/>
          <w:szCs w:val="44"/>
          <w:lang w:val="en-US" w:eastAsia="zh-CN" w:bidi="ar-SA"/>
        </w:rPr>
      </w:pPr>
      <w:r>
        <w:rPr>
          <w:rFonts w:hint="default" w:ascii="Times New Roman" w:hAnsi="Times New Roman" w:eastAsia="黑体" w:cs="Times New Roman"/>
          <w:color w:val="000000"/>
          <w:kern w:val="2"/>
          <w:sz w:val="44"/>
          <w:szCs w:val="44"/>
          <w:lang w:val="en-US" w:eastAsia="zh-CN" w:bidi="ar-SA"/>
        </w:rPr>
        <w:t xml:space="preserve">温室气体 产品碳足迹量化方法与要求 </w:t>
      </w:r>
      <w:r>
        <w:rPr>
          <w:rFonts w:hint="eastAsia" w:ascii="Times New Roman" w:eastAsia="黑体" w:cs="Times New Roman"/>
          <w:color w:val="000000"/>
          <w:kern w:val="2"/>
          <w:sz w:val="44"/>
          <w:szCs w:val="44"/>
          <w:lang w:val="en-US" w:eastAsia="zh-CN" w:bidi="ar-SA"/>
        </w:rPr>
        <w:t>水泥</w:t>
      </w:r>
    </w:p>
    <w:p w14:paraId="77839924">
      <w:pPr>
        <w:pStyle w:val="26"/>
        <w:kinsoku/>
        <w:wordWrap/>
        <w:overflowPunct/>
        <w:topLinePunct w:val="0"/>
        <w:bidi w:val="0"/>
        <w:snapToGrid/>
        <w:spacing w:line="360" w:lineRule="auto"/>
        <w:ind w:firstLine="0" w:firstLineChars="0"/>
        <w:jc w:val="center"/>
        <w:rPr>
          <w:rFonts w:hint="default" w:ascii="Times New Roman" w:hAnsi="Times New Roman" w:eastAsia="黑体" w:cs="Times New Roman"/>
          <w:kern w:val="0"/>
          <w:sz w:val="28"/>
          <w:szCs w:val="28"/>
        </w:rPr>
      </w:pPr>
      <w:r>
        <w:rPr>
          <w:rFonts w:hint="default" w:ascii="Times New Roman" w:hAnsi="Times New Roman" w:eastAsia="黑体" w:cs="Times New Roman"/>
          <w:kern w:val="0"/>
          <w:sz w:val="28"/>
          <w:szCs w:val="28"/>
        </w:rPr>
        <w:t>Greenhouse gas—Quantitative method of product carbon footprint—Cement</w:t>
      </w:r>
    </w:p>
    <w:p w14:paraId="70F5DF66">
      <w:pPr>
        <w:kinsoku/>
        <w:wordWrap/>
        <w:overflowPunct/>
        <w:topLinePunct w:val="0"/>
        <w:autoSpaceDE w:val="0"/>
        <w:autoSpaceDN w:val="0"/>
        <w:bidi w:val="0"/>
        <w:adjustRightInd w:val="0"/>
        <w:snapToGrid/>
        <w:spacing w:line="360" w:lineRule="auto"/>
        <w:jc w:val="center"/>
        <w:rPr>
          <w:rFonts w:hint="default" w:ascii="Times New Roman" w:hAnsi="Times New Roman" w:eastAsia="黑体" w:cs="Times New Roman"/>
          <w:kern w:val="0"/>
          <w:sz w:val="36"/>
          <w:szCs w:val="20"/>
        </w:rPr>
      </w:pPr>
      <w:r>
        <w:rPr>
          <w:rFonts w:hint="default" w:ascii="Times New Roman" w:hAnsi="Times New Roman" w:eastAsia="黑体" w:cs="Times New Roman"/>
          <w:color w:val="000000"/>
          <w:sz w:val="44"/>
          <w:szCs w:val="44"/>
        </w:rPr>
        <w:t>（</w:t>
      </w:r>
      <w:r>
        <w:rPr>
          <w:rFonts w:hint="eastAsia" w:ascii="Times New Roman" w:hAnsi="Times New Roman" w:eastAsia="黑体" w:cs="Times New Roman"/>
          <w:color w:val="000000"/>
          <w:sz w:val="44"/>
          <w:szCs w:val="44"/>
          <w:lang w:val="en-US" w:eastAsia="zh-CN"/>
        </w:rPr>
        <w:t>征求意见稿</w:t>
      </w:r>
      <w:r>
        <w:rPr>
          <w:rFonts w:hint="default" w:ascii="Times New Roman" w:hAnsi="Times New Roman" w:eastAsia="黑体" w:cs="Times New Roman"/>
          <w:color w:val="000000"/>
          <w:sz w:val="44"/>
          <w:szCs w:val="44"/>
        </w:rPr>
        <w:t>）</w:t>
      </w:r>
    </w:p>
    <w:p w14:paraId="227AF03F">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120ED79D">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51DDAA90">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78DBAC0F">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48976E27">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7DB87E1D">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02684177">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24B7DA40">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r>
        <w:rPr>
          <w:rFonts w:hint="default" w:ascii="Times New Roman" w:hAnsi="Times New Roman" w:cs="Times New Roman"/>
        </w:rPr>
        <mc:AlternateContent>
          <mc:Choice Requires="wps">
            <w:drawing>
              <wp:anchor distT="0" distB="0" distL="114300" distR="114300" simplePos="0" relativeHeight="251663360" behindDoc="0" locked="1" layoutInCell="1" allowOverlap="1">
                <wp:simplePos x="0" y="0"/>
                <wp:positionH relativeFrom="margin">
                  <wp:align>right</wp:align>
                </wp:positionH>
                <wp:positionV relativeFrom="margin">
                  <wp:posOffset>8233410</wp:posOffset>
                </wp:positionV>
                <wp:extent cx="1685925" cy="312420"/>
                <wp:effectExtent l="0" t="0" r="9525" b="11430"/>
                <wp:wrapNone/>
                <wp:docPr id="13"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85925" cy="312420"/>
                        </a:xfrm>
                        <a:prstGeom prst="rect">
                          <a:avLst/>
                        </a:prstGeom>
                        <a:solidFill>
                          <a:srgbClr val="FFFFFF"/>
                        </a:solidFill>
                        <a:ln>
                          <a:noFill/>
                        </a:ln>
                      </wps:spPr>
                      <wps:txbx>
                        <w:txbxContent>
                          <w:p w14:paraId="5B89BA1B">
                            <w:pPr>
                              <w:pStyle w:val="81"/>
                            </w:pPr>
                            <w:r>
                              <w:t>XXXX</w:t>
                            </w:r>
                            <w:r>
                              <w:rPr>
                                <w:rFonts w:hint="eastAsia"/>
                              </w:rPr>
                              <w:t>-</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top:648.3pt;height:24.6pt;width:132.75pt;mso-position-horizontal:right;mso-position-horizontal-relative:margin;mso-position-vertical-relative:margin;z-index:251663360;mso-width-relative:page;mso-height-relative:page;" fillcolor="#FFFFFF" filled="t" stroked="f" coordsize="21600,21600" o:gfxdata="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sz&#10;eXrZAAAACgEAAA8AAAAAAAAAAQAgAAAAIgAAAGRycy9kb3ducmV2LnhtbFBLAQIUABQAAAAIAIdO&#10;4kCwYPOGIgIAADAEAAAOAAAAAAAAAAEAIAAAACgBAABkcnMvZTJvRG9jLnhtbFBLBQYAAAAABgAG&#10;AFkBAAC8BQAAAAA=&#10;">
                <v:fill on="t" focussize="0,0"/>
                <v:stroke on="f"/>
                <v:imagedata o:title=""/>
                <o:lock v:ext="edit" aspectratio="f"/>
                <v:textbox inset="0mm,0mm,0mm,0mm">
                  <w:txbxContent>
                    <w:p w14:paraId="5B89BA1B">
                      <w:pPr>
                        <w:pStyle w:val="81"/>
                      </w:pPr>
                      <w:r>
                        <w:t>XXXX</w:t>
                      </w:r>
                      <w:r>
                        <w:rPr>
                          <w:rFonts w:hint="eastAsia"/>
                        </w:rPr>
                        <w:t>-</w:t>
                      </w:r>
                      <w:r>
                        <w:t>XX</w:t>
                      </w:r>
                      <w:r>
                        <w:rPr>
                          <w:rFonts w:hint="eastAsia"/>
                        </w:rPr>
                        <w:t>-</w:t>
                      </w:r>
                      <w:r>
                        <w:t>XX</w:t>
                      </w:r>
                      <w:r>
                        <w:rPr>
                          <w:rFonts w:hint="eastAsia"/>
                        </w:rPr>
                        <w:t>实施</w:t>
                      </w:r>
                    </w:p>
                  </w:txbxContent>
                </v:textbox>
                <w10:anchorlock/>
              </v:shape>
            </w:pict>
          </mc:Fallback>
        </mc:AlternateContent>
      </w:r>
    </w:p>
    <w:p w14:paraId="571C63EB">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304B1BFA">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r>
        <w:rPr>
          <w:rFonts w:hint="default" w:ascii="Times New Roman" w:hAnsi="Times New Roman" w:cs="Times New Roman"/>
        </w:rPr>
        <mc:AlternateContent>
          <mc:Choice Requires="wps">
            <w:drawing>
              <wp:anchor distT="0" distB="0" distL="114300" distR="114300" simplePos="0" relativeHeight="251662336" behindDoc="0" locked="1" layoutInCell="1" allowOverlap="1">
                <wp:simplePos x="0" y="0"/>
                <wp:positionH relativeFrom="margin">
                  <wp:posOffset>-16510</wp:posOffset>
                </wp:positionH>
                <wp:positionV relativeFrom="margin">
                  <wp:posOffset>8209915</wp:posOffset>
                </wp:positionV>
                <wp:extent cx="2019300" cy="312420"/>
                <wp:effectExtent l="0" t="0" r="0" b="11430"/>
                <wp:wrapNone/>
                <wp:docPr id="14"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6064F08">
                            <w:pPr>
                              <w:pStyle w:val="81"/>
                            </w:pPr>
                            <w:r>
                              <w:t>XXXX</w:t>
                            </w:r>
                            <w:r>
                              <w:rPr>
                                <w:rFonts w:hint="eastAsia"/>
                              </w:rPr>
                              <w:t>-</w:t>
                            </w:r>
                            <w:r>
                              <w:t>XX</w:t>
                            </w:r>
                            <w:r>
                              <w:rPr>
                                <w:rFonts w:hint="eastAsia"/>
                              </w:rPr>
                              <w:t>-</w:t>
                            </w:r>
                            <w:r>
                              <w:t>XX</w:t>
                            </w:r>
                            <w:r>
                              <w:rPr>
                                <w:rFonts w:hint="eastAsia"/>
                              </w:rPr>
                              <w:t>发布</w:t>
                            </w:r>
                          </w:p>
                        </w:txbxContent>
                      </wps:txbx>
                      <wps:bodyPr rot="0" vert="horz" wrap="square" lIns="0" tIns="0" rIns="0" bIns="0" anchor="t" anchorCtr="0" upright="1">
                        <a:noAutofit/>
                      </wps:bodyPr>
                    </wps:wsp>
                  </a:graphicData>
                </a:graphic>
              </wp:anchor>
            </w:drawing>
          </mc:Choice>
          <mc:Fallback>
            <w:pict>
              <v:shape id="文本框 19" o:spid="_x0000_s1026" o:spt="202" type="#_x0000_t202" style="position:absolute;left:0pt;margin-left:-1.3pt;margin-top:646.45pt;height:24.6pt;width:159pt;mso-position-horizontal-relative:margin;mso-position-vertical-relative:margin;z-index:251662336;mso-width-relative:page;mso-height-relative:page;" fillcolor="#FFFFFF" filled="t" stroked="f" coordsize="21600,21600" o:gfxdata="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Qr&#10;mV7aAAAADAEAAA8AAAAAAAAAAQAgAAAAIgAAAGRycy9kb3ducmV2LnhtbFBLAQIUABQAAAAIAIdO&#10;4kDOsausIQIAADAEAAAOAAAAAAAAAAEAIAAAACkBAABkcnMvZTJvRG9jLnhtbFBLBQYAAAAABgAG&#10;AFkBAAC8BQAAAAA=&#10;">
                <v:fill on="t" focussize="0,0"/>
                <v:stroke on="f"/>
                <v:imagedata o:title=""/>
                <o:lock v:ext="edit" aspectratio="f"/>
                <v:textbox inset="0mm,0mm,0mm,0mm">
                  <w:txbxContent>
                    <w:p w14:paraId="16064F08">
                      <w:pPr>
                        <w:pStyle w:val="81"/>
                      </w:pPr>
                      <w:r>
                        <w:t>XXXX</w:t>
                      </w:r>
                      <w:r>
                        <w:rPr>
                          <w:rFonts w:hint="eastAsia"/>
                        </w:rPr>
                        <w:t>-</w:t>
                      </w:r>
                      <w:r>
                        <w:t>XX</w:t>
                      </w:r>
                      <w:r>
                        <w:rPr>
                          <w:rFonts w:hint="eastAsia"/>
                        </w:rPr>
                        <w:t>-</w:t>
                      </w:r>
                      <w:r>
                        <w:t>XX</w:t>
                      </w:r>
                      <w:r>
                        <w:rPr>
                          <w:rFonts w:hint="eastAsia"/>
                        </w:rPr>
                        <w:t>发布</w:t>
                      </w:r>
                    </w:p>
                  </w:txbxContent>
                </v:textbox>
                <w10:anchorlock/>
              </v:shape>
            </w:pict>
          </mc:Fallback>
        </mc:AlternateContent>
      </w:r>
    </w:p>
    <w:p w14:paraId="114A7E98">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pPr>
    </w:p>
    <w:p w14:paraId="3D81E787">
      <w:pPr>
        <w:pStyle w:val="26"/>
        <w:kinsoku/>
        <w:wordWrap/>
        <w:overflowPunct/>
        <w:topLinePunct w:val="0"/>
        <w:bidi w:val="0"/>
        <w:snapToGrid/>
        <w:spacing w:line="360" w:lineRule="auto"/>
        <w:ind w:firstLine="0" w:firstLineChars="0"/>
        <w:rPr>
          <w:rFonts w:hint="default" w:ascii="Times New Roman" w:hAnsi="Times New Roman" w:cs="Times New Roman"/>
          <w:sz w:val="18"/>
          <w:szCs w:val="18"/>
        </w:rPr>
        <w:sectPr>
          <w:footerReference r:id="rId4" w:type="default"/>
          <w:pgSz w:w="11906" w:h="16838"/>
          <w:pgMar w:top="567" w:right="1134" w:bottom="1134" w:left="1418" w:header="1418" w:footer="1134" w:gutter="0"/>
          <w:pgNumType w:start="1"/>
          <w:cols w:space="720" w:num="1"/>
          <w:formProt w:val="0"/>
          <w:docGrid w:type="lines" w:linePitch="312" w:charSpace="0"/>
        </w:sectPr>
      </w:pP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5080</wp:posOffset>
                </wp:positionH>
                <wp:positionV relativeFrom="paragraph">
                  <wp:posOffset>1369695</wp:posOffset>
                </wp:positionV>
                <wp:extent cx="5902960" cy="0"/>
                <wp:effectExtent l="0" t="4445" r="0" b="5080"/>
                <wp:wrapNone/>
                <wp:docPr id="15" name="AutoShape 38"/>
                <wp:cNvGraphicFramePr/>
                <a:graphic xmlns:a="http://schemas.openxmlformats.org/drawingml/2006/main">
                  <a:graphicData uri="http://schemas.microsoft.com/office/word/2010/wordprocessingShape">
                    <wps:wsp>
                      <wps:cNvCnPr>
                        <a:cxnSpLocks noChangeShapeType="1"/>
                      </wps:cNvCnPr>
                      <wps:spPr bwMode="auto">
                        <a:xfrm>
                          <a:off x="0" y="0"/>
                          <a:ext cx="5902960" cy="0"/>
                        </a:xfrm>
                        <a:prstGeom prst="straightConnector1">
                          <a:avLst/>
                        </a:prstGeom>
                        <a:noFill/>
                        <a:ln w="9525">
                          <a:solidFill>
                            <a:srgbClr val="000000"/>
                          </a:solidFill>
                          <a:round/>
                        </a:ln>
                      </wps:spPr>
                      <wps:bodyPr/>
                    </wps:wsp>
                  </a:graphicData>
                </a:graphic>
              </wp:anchor>
            </w:drawing>
          </mc:Choice>
          <mc:Fallback>
            <w:pict>
              <v:shape id="AutoShape 38" o:spid="_x0000_s1026" o:spt="32" type="#_x0000_t32" style="position:absolute;left:0pt;margin-left:0.4pt;margin-top:107.85pt;height:0pt;width:464.8pt;z-index:251664384;mso-width-relative:page;mso-height-relative:page;" filled="f" stroked="t" coordsize="21600,21600" o:gfxdata="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VVA39YAAAAIAQAADwAAAAAAAAABACAA&#10;AAAiAAAAZHJzL2Rvd25yZXYueG1sUEsBAhQAFAAAAAgAh07iQPoUvzzWAQAAtAMAAA4AAAAAAAAA&#10;AQAgAAAAJQEAAGRycy9lMm9Eb2MueG1sUEsFBgAAAAAGAAYAWQEAAG0FAAAAAA==&#10;">
                <v:fill on="f" focussize="0,0"/>
                <v:stroke color="#000000" joinstyle="round"/>
                <v:imagedata o:title=""/>
                <o:lock v:ext="edit" aspectratio="f"/>
              </v:shape>
            </w:pict>
          </mc:Fallback>
        </mc:AlternateContent>
      </w:r>
    </w:p>
    <w:bookmarkEnd w:id="0"/>
    <w:bookmarkEnd w:id="1"/>
    <w:bookmarkEnd w:id="2"/>
    <w:bookmarkEnd w:id="3"/>
    <w:p w14:paraId="238621A2">
      <w:pPr>
        <w:jc w:val="center"/>
      </w:pPr>
      <w:r>
        <w:rPr>
          <w:rFonts w:hint="eastAsia" w:ascii="黑体" w:hAnsi="黑体" w:eastAsia="黑体" w:cs="黑体"/>
          <w:sz w:val="32"/>
        </w:rPr>
        <w:t>目    次</w:t>
      </w:r>
      <w:r>
        <w:rPr>
          <w:rFonts w:hint="eastAsia" w:ascii="宋体" w:hAnsi="宋体"/>
        </w:rPr>
        <w:t xml:space="preserve">  </w:t>
      </w:r>
    </w:p>
    <w:p w14:paraId="36256606">
      <w:pPr>
        <w:pStyle w:val="22"/>
        <w:tabs>
          <w:tab w:val="right" w:leader="dot" w:pos="9354"/>
          <w:tab w:val="clear" w:pos="9242"/>
        </w:tabs>
      </w:pPr>
      <w:r>
        <w:rPr>
          <w:rFonts w:ascii="Times New Roman"/>
          <w:sz w:val="32"/>
        </w:rPr>
        <w:fldChar w:fldCharType="begin"/>
      </w:r>
      <w:r>
        <w:rPr>
          <w:rFonts w:ascii="Times New Roman"/>
          <w:sz w:val="32"/>
        </w:rPr>
        <w:instrText xml:space="preserve">TOC \o "1-1" \h \u </w:instrText>
      </w:r>
      <w:r>
        <w:rPr>
          <w:rFonts w:ascii="Times New Roman"/>
          <w:sz w:val="32"/>
        </w:rPr>
        <w:fldChar w:fldCharType="separate"/>
      </w:r>
      <w:r>
        <w:rPr>
          <w:rFonts w:ascii="Times New Roman"/>
        </w:rPr>
        <w:fldChar w:fldCharType="begin"/>
      </w:r>
      <w:r>
        <w:rPr>
          <w:rFonts w:ascii="Times New Roman"/>
        </w:rPr>
        <w:instrText xml:space="preserve"> HYPERLINK \l _Toc28605 </w:instrText>
      </w:r>
      <w:r>
        <w:rPr>
          <w:rFonts w:ascii="Times New Roman"/>
        </w:rPr>
        <w:fldChar w:fldCharType="separate"/>
      </w:r>
      <w:r>
        <w:rPr>
          <w:rFonts w:hint="default" w:ascii="Times New Roman" w:eastAsia="宋体"/>
          <w:bCs/>
        </w:rPr>
        <w:t xml:space="preserve">1. </w:t>
      </w:r>
      <w:r>
        <w:rPr>
          <w:rFonts w:ascii="Times New Roman" w:eastAsia="宋体"/>
          <w:bCs/>
        </w:rPr>
        <w:t>范围</w:t>
      </w:r>
      <w:r>
        <w:tab/>
      </w:r>
      <w:r>
        <w:fldChar w:fldCharType="begin"/>
      </w:r>
      <w:r>
        <w:instrText xml:space="preserve"> PAGEREF _Toc28605 \h </w:instrText>
      </w:r>
      <w:r>
        <w:fldChar w:fldCharType="separate"/>
      </w:r>
      <w:r>
        <w:t>1</w:t>
      </w:r>
      <w:r>
        <w:fldChar w:fldCharType="end"/>
      </w:r>
      <w:r>
        <w:rPr>
          <w:rFonts w:ascii="Times New Roman"/>
        </w:rPr>
        <w:fldChar w:fldCharType="end"/>
      </w:r>
    </w:p>
    <w:p w14:paraId="0DD213E7">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_Toc7362 </w:instrText>
      </w:r>
      <w:r>
        <w:rPr>
          <w:rFonts w:ascii="Times New Roman" w:hAnsi="Times New Roman"/>
        </w:rPr>
        <w:fldChar w:fldCharType="separate"/>
      </w:r>
      <w:r>
        <w:rPr>
          <w:rFonts w:hint="default" w:ascii="Times New Roman" w:eastAsia="宋体"/>
          <w:bCs/>
        </w:rPr>
        <w:t xml:space="preserve">2. </w:t>
      </w:r>
      <w:r>
        <w:rPr>
          <w:rFonts w:ascii="Times New Roman" w:eastAsia="宋体"/>
          <w:bCs/>
        </w:rPr>
        <w:t>规范性引用文件</w:t>
      </w:r>
      <w:r>
        <w:tab/>
      </w:r>
      <w:r>
        <w:fldChar w:fldCharType="begin"/>
      </w:r>
      <w:r>
        <w:instrText xml:space="preserve"> PAGEREF _Toc7362 \h </w:instrText>
      </w:r>
      <w:r>
        <w:fldChar w:fldCharType="separate"/>
      </w:r>
      <w:r>
        <w:t>1</w:t>
      </w:r>
      <w:r>
        <w:fldChar w:fldCharType="end"/>
      </w:r>
      <w:r>
        <w:rPr>
          <w:rFonts w:ascii="Times New Roman" w:hAnsi="Times New Roman"/>
        </w:rPr>
        <w:fldChar w:fldCharType="end"/>
      </w:r>
    </w:p>
    <w:p w14:paraId="6FD90C07">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_Toc32422 </w:instrText>
      </w:r>
      <w:r>
        <w:rPr>
          <w:rFonts w:ascii="Times New Roman" w:hAnsi="Times New Roman"/>
        </w:rPr>
        <w:fldChar w:fldCharType="separate"/>
      </w:r>
      <w:r>
        <w:rPr>
          <w:rFonts w:hint="default" w:ascii="Times New Roman" w:eastAsia="宋体"/>
          <w:bCs/>
        </w:rPr>
        <w:t xml:space="preserve">3. </w:t>
      </w:r>
      <w:r>
        <w:rPr>
          <w:rFonts w:ascii="Times New Roman" w:eastAsia="宋体"/>
          <w:bCs/>
        </w:rPr>
        <w:t>术语和定义</w:t>
      </w:r>
      <w:r>
        <w:tab/>
      </w:r>
      <w:r>
        <w:fldChar w:fldCharType="begin"/>
      </w:r>
      <w:r>
        <w:instrText xml:space="preserve"> PAGEREF _Toc32422 \h </w:instrText>
      </w:r>
      <w:r>
        <w:fldChar w:fldCharType="separate"/>
      </w:r>
      <w:r>
        <w:t>1</w:t>
      </w:r>
      <w:r>
        <w:fldChar w:fldCharType="end"/>
      </w:r>
      <w:r>
        <w:rPr>
          <w:rFonts w:ascii="Times New Roman" w:hAnsi="Times New Roman"/>
        </w:rPr>
        <w:fldChar w:fldCharType="end"/>
      </w:r>
    </w:p>
    <w:p w14:paraId="60A8AA92">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_Toc24846 </w:instrText>
      </w:r>
      <w:r>
        <w:rPr>
          <w:rFonts w:ascii="Times New Roman" w:hAnsi="Times New Roman"/>
        </w:rPr>
        <w:fldChar w:fldCharType="separate"/>
      </w:r>
      <w:r>
        <w:rPr>
          <w:rFonts w:hint="default" w:ascii="Times New Roman" w:eastAsia="宋体"/>
          <w:bCs/>
        </w:rPr>
        <w:t xml:space="preserve">4. </w:t>
      </w:r>
      <w:r>
        <w:rPr>
          <w:rFonts w:ascii="Times New Roman" w:eastAsia="宋体"/>
          <w:bCs/>
        </w:rPr>
        <w:t>量化目的</w:t>
      </w:r>
      <w:r>
        <w:tab/>
      </w:r>
      <w:r>
        <w:fldChar w:fldCharType="begin"/>
      </w:r>
      <w:r>
        <w:instrText xml:space="preserve"> PAGEREF _Toc24846 \h </w:instrText>
      </w:r>
      <w:r>
        <w:fldChar w:fldCharType="separate"/>
      </w:r>
      <w:r>
        <w:t>4</w:t>
      </w:r>
      <w:r>
        <w:fldChar w:fldCharType="end"/>
      </w:r>
      <w:r>
        <w:rPr>
          <w:rFonts w:ascii="Times New Roman" w:hAnsi="Times New Roman"/>
        </w:rPr>
        <w:fldChar w:fldCharType="end"/>
      </w:r>
    </w:p>
    <w:p w14:paraId="6E6C0749">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_Toc6346 </w:instrText>
      </w:r>
      <w:r>
        <w:rPr>
          <w:rFonts w:ascii="Times New Roman" w:hAnsi="Times New Roman"/>
        </w:rPr>
        <w:fldChar w:fldCharType="separate"/>
      </w:r>
      <w:r>
        <w:rPr>
          <w:rFonts w:hint="default" w:ascii="Times New Roman" w:eastAsia="宋体"/>
          <w:bCs/>
        </w:rPr>
        <w:t xml:space="preserve">5. </w:t>
      </w:r>
      <w:r>
        <w:rPr>
          <w:rFonts w:ascii="Times New Roman" w:eastAsia="宋体"/>
          <w:bCs/>
        </w:rPr>
        <w:t>量化范围</w:t>
      </w:r>
      <w:r>
        <w:tab/>
      </w:r>
      <w:r>
        <w:fldChar w:fldCharType="begin"/>
      </w:r>
      <w:r>
        <w:instrText xml:space="preserve"> PAGEREF _Toc6346 \h </w:instrText>
      </w:r>
      <w:r>
        <w:fldChar w:fldCharType="separate"/>
      </w:r>
      <w:r>
        <w:t>4</w:t>
      </w:r>
      <w:r>
        <w:fldChar w:fldCharType="end"/>
      </w:r>
      <w:r>
        <w:rPr>
          <w:rFonts w:ascii="Times New Roman" w:hAnsi="Times New Roman"/>
        </w:rPr>
        <w:fldChar w:fldCharType="end"/>
      </w:r>
    </w:p>
    <w:p w14:paraId="1EFDCA48">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_Toc12075 </w:instrText>
      </w:r>
      <w:r>
        <w:rPr>
          <w:rFonts w:ascii="Times New Roman" w:hAnsi="Times New Roman"/>
        </w:rPr>
        <w:fldChar w:fldCharType="separate"/>
      </w:r>
      <w:r>
        <w:rPr>
          <w:rFonts w:hint="default" w:ascii="Times New Roman" w:eastAsia="宋体"/>
          <w:bCs/>
        </w:rPr>
        <w:t xml:space="preserve">6. </w:t>
      </w:r>
      <w:r>
        <w:rPr>
          <w:rFonts w:ascii="Times New Roman" w:eastAsia="宋体"/>
          <w:bCs/>
        </w:rPr>
        <w:t>清单分析</w:t>
      </w:r>
      <w:r>
        <w:tab/>
      </w:r>
      <w:r>
        <w:fldChar w:fldCharType="begin"/>
      </w:r>
      <w:r>
        <w:instrText xml:space="preserve"> PAGEREF _Toc12075 \h </w:instrText>
      </w:r>
      <w:r>
        <w:fldChar w:fldCharType="separate"/>
      </w:r>
      <w:r>
        <w:t>7</w:t>
      </w:r>
      <w:r>
        <w:fldChar w:fldCharType="end"/>
      </w:r>
      <w:r>
        <w:rPr>
          <w:rFonts w:ascii="Times New Roman" w:hAnsi="Times New Roman"/>
        </w:rPr>
        <w:fldChar w:fldCharType="end"/>
      </w:r>
    </w:p>
    <w:p w14:paraId="5A95E9CB">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_Toc25594 </w:instrText>
      </w:r>
      <w:r>
        <w:rPr>
          <w:rFonts w:ascii="Times New Roman" w:hAnsi="Times New Roman"/>
        </w:rPr>
        <w:fldChar w:fldCharType="separate"/>
      </w:r>
      <w:r>
        <w:rPr>
          <w:rFonts w:hint="default" w:ascii="Times New Roman" w:eastAsia="宋体"/>
          <w:bCs/>
        </w:rPr>
        <w:t xml:space="preserve">7. </w:t>
      </w:r>
      <w:r>
        <w:rPr>
          <w:rFonts w:ascii="Times New Roman" w:eastAsia="宋体"/>
          <w:bCs/>
        </w:rPr>
        <w:t>影响评价</w:t>
      </w:r>
      <w:r>
        <w:tab/>
      </w:r>
      <w:r>
        <w:fldChar w:fldCharType="begin"/>
      </w:r>
      <w:r>
        <w:instrText xml:space="preserve"> PAGEREF _Toc25594 \h </w:instrText>
      </w:r>
      <w:r>
        <w:fldChar w:fldCharType="separate"/>
      </w:r>
      <w:r>
        <w:t>8</w:t>
      </w:r>
      <w:r>
        <w:fldChar w:fldCharType="end"/>
      </w:r>
      <w:r>
        <w:rPr>
          <w:rFonts w:ascii="Times New Roman" w:hAnsi="Times New Roman"/>
        </w:rPr>
        <w:fldChar w:fldCharType="end"/>
      </w:r>
    </w:p>
    <w:p w14:paraId="2F204C41">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_Toc2983 </w:instrText>
      </w:r>
      <w:r>
        <w:rPr>
          <w:rFonts w:ascii="Times New Roman" w:hAnsi="Times New Roman"/>
        </w:rPr>
        <w:fldChar w:fldCharType="separate"/>
      </w:r>
      <w:r>
        <w:rPr>
          <w:rFonts w:hint="default" w:ascii="Times New Roman" w:eastAsia="宋体"/>
          <w:bCs/>
        </w:rPr>
        <w:t xml:space="preserve">8. </w:t>
      </w:r>
      <w:r>
        <w:rPr>
          <w:rFonts w:ascii="Times New Roman" w:eastAsia="宋体"/>
          <w:bCs/>
        </w:rPr>
        <w:t>结果解释</w:t>
      </w:r>
      <w:r>
        <w:tab/>
      </w:r>
      <w:r>
        <w:fldChar w:fldCharType="begin"/>
      </w:r>
      <w:r>
        <w:instrText xml:space="preserve"> PAGEREF _Toc2983 \h </w:instrText>
      </w:r>
      <w:r>
        <w:fldChar w:fldCharType="separate"/>
      </w:r>
      <w:r>
        <w:t>11</w:t>
      </w:r>
      <w:r>
        <w:fldChar w:fldCharType="end"/>
      </w:r>
      <w:r>
        <w:rPr>
          <w:rFonts w:ascii="Times New Roman" w:hAnsi="Times New Roman"/>
        </w:rPr>
        <w:fldChar w:fldCharType="end"/>
      </w:r>
    </w:p>
    <w:p w14:paraId="11DEE736">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_Toc30856 </w:instrText>
      </w:r>
      <w:r>
        <w:rPr>
          <w:rFonts w:ascii="Times New Roman" w:hAnsi="Times New Roman"/>
        </w:rPr>
        <w:fldChar w:fldCharType="separate"/>
      </w:r>
      <w:r>
        <w:rPr>
          <w:rFonts w:hint="default" w:ascii="Times New Roman" w:eastAsia="宋体"/>
          <w:bCs/>
        </w:rPr>
        <w:t xml:space="preserve">9. </w:t>
      </w:r>
      <w:r>
        <w:rPr>
          <w:rFonts w:ascii="Times New Roman" w:eastAsia="宋体"/>
          <w:bCs/>
        </w:rPr>
        <w:t>鉴定性评审</w:t>
      </w:r>
      <w:r>
        <w:tab/>
      </w:r>
      <w:r>
        <w:fldChar w:fldCharType="begin"/>
      </w:r>
      <w:r>
        <w:instrText xml:space="preserve"> PAGEREF _Toc30856 \h </w:instrText>
      </w:r>
      <w:r>
        <w:fldChar w:fldCharType="separate"/>
      </w:r>
      <w:r>
        <w:t>11</w:t>
      </w:r>
      <w:r>
        <w:fldChar w:fldCharType="end"/>
      </w:r>
      <w:r>
        <w:rPr>
          <w:rFonts w:ascii="Times New Roman" w:hAnsi="Times New Roman"/>
        </w:rPr>
        <w:fldChar w:fldCharType="end"/>
      </w:r>
    </w:p>
    <w:p w14:paraId="77AA23AF">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_Toc9116 </w:instrText>
      </w:r>
      <w:r>
        <w:rPr>
          <w:rFonts w:ascii="Times New Roman" w:hAnsi="Times New Roman"/>
        </w:rPr>
        <w:fldChar w:fldCharType="separate"/>
      </w:r>
      <w:r>
        <w:rPr>
          <w:rFonts w:hint="default" w:ascii="Times New Roman" w:eastAsia="宋体"/>
          <w:bCs/>
          <w:kern w:val="0"/>
          <w:szCs w:val="20"/>
        </w:rPr>
        <w:t xml:space="preserve">10. </w:t>
      </w:r>
      <w:r>
        <w:rPr>
          <w:rFonts w:hint="eastAsia" w:ascii="Times New Roman" w:eastAsia="宋体"/>
          <w:bCs/>
          <w:kern w:val="0"/>
          <w:szCs w:val="20"/>
          <w:lang w:val="en-US" w:eastAsia="zh-CN"/>
        </w:rPr>
        <w:t>可比性</w:t>
      </w:r>
      <w:r>
        <w:tab/>
      </w:r>
      <w:r>
        <w:fldChar w:fldCharType="begin"/>
      </w:r>
      <w:r>
        <w:instrText xml:space="preserve"> PAGEREF _Toc9116 \h </w:instrText>
      </w:r>
      <w:r>
        <w:fldChar w:fldCharType="separate"/>
      </w:r>
      <w:r>
        <w:t>12</w:t>
      </w:r>
      <w:r>
        <w:fldChar w:fldCharType="end"/>
      </w:r>
      <w:r>
        <w:rPr>
          <w:rFonts w:ascii="Times New Roman" w:hAnsi="Times New Roman"/>
        </w:rPr>
        <w:fldChar w:fldCharType="end"/>
      </w:r>
    </w:p>
    <w:p w14:paraId="1D884E9D">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_Toc13549 </w:instrText>
      </w:r>
      <w:r>
        <w:rPr>
          <w:rFonts w:ascii="Times New Roman" w:hAnsi="Times New Roman"/>
        </w:rPr>
        <w:fldChar w:fldCharType="separate"/>
      </w:r>
      <w:r>
        <w:rPr>
          <w:rFonts w:hint="default" w:ascii="Times New Roman" w:eastAsia="宋体"/>
          <w:bCs/>
        </w:rPr>
        <w:t xml:space="preserve">11. </w:t>
      </w:r>
      <w:r>
        <w:rPr>
          <w:rFonts w:ascii="Times New Roman" w:eastAsia="宋体"/>
          <w:bCs/>
        </w:rPr>
        <w:t>产品碳足迹绩效追踪</w:t>
      </w:r>
      <w:r>
        <w:tab/>
      </w:r>
      <w:r>
        <w:fldChar w:fldCharType="begin"/>
      </w:r>
      <w:r>
        <w:instrText xml:space="preserve"> PAGEREF _Toc13549 \h </w:instrText>
      </w:r>
      <w:r>
        <w:fldChar w:fldCharType="separate"/>
      </w:r>
      <w:r>
        <w:t>12</w:t>
      </w:r>
      <w:r>
        <w:fldChar w:fldCharType="end"/>
      </w:r>
      <w:r>
        <w:rPr>
          <w:rFonts w:ascii="Times New Roman" w:hAnsi="Times New Roman"/>
        </w:rPr>
        <w:fldChar w:fldCharType="end"/>
      </w:r>
    </w:p>
    <w:p w14:paraId="7941EAFC">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_Toc21056 </w:instrText>
      </w:r>
      <w:r>
        <w:rPr>
          <w:rFonts w:ascii="Times New Roman" w:hAnsi="Times New Roman"/>
        </w:rPr>
        <w:fldChar w:fldCharType="separate"/>
      </w:r>
      <w:r>
        <w:rPr>
          <w:rFonts w:hint="default" w:ascii="Times New Roman" w:eastAsia="宋体"/>
          <w:bCs/>
        </w:rPr>
        <w:t xml:space="preserve">12. </w:t>
      </w:r>
      <w:r>
        <w:rPr>
          <w:rFonts w:ascii="Times New Roman" w:eastAsia="宋体"/>
          <w:bCs/>
        </w:rPr>
        <w:t>产品碳足迹报告</w:t>
      </w:r>
      <w:r>
        <w:tab/>
      </w:r>
      <w:r>
        <w:fldChar w:fldCharType="begin"/>
      </w:r>
      <w:r>
        <w:instrText xml:space="preserve"> PAGEREF _Toc21056 \h </w:instrText>
      </w:r>
      <w:r>
        <w:fldChar w:fldCharType="separate"/>
      </w:r>
      <w:r>
        <w:t>12</w:t>
      </w:r>
      <w:r>
        <w:fldChar w:fldCharType="end"/>
      </w:r>
      <w:r>
        <w:rPr>
          <w:rFonts w:ascii="Times New Roman" w:hAnsi="Times New Roman"/>
        </w:rPr>
        <w:fldChar w:fldCharType="end"/>
      </w:r>
    </w:p>
    <w:p w14:paraId="68F651C6">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_Toc11170 </w:instrText>
      </w:r>
      <w:r>
        <w:rPr>
          <w:rFonts w:ascii="Times New Roman" w:hAnsi="Times New Roman"/>
        </w:rPr>
        <w:fldChar w:fldCharType="separate"/>
      </w:r>
      <w:r>
        <w:rPr>
          <w:szCs w:val="32"/>
        </w:rPr>
        <w:t>附录A</w:t>
      </w:r>
      <w:r>
        <w:rPr>
          <w:szCs w:val="32"/>
        </w:rPr>
        <w:t xml:space="preserve"> </w:t>
      </w:r>
      <w:r>
        <w:t>（资料性）</w:t>
      </w:r>
      <w:r>
        <w:t xml:space="preserve"> </w:t>
      </w:r>
      <w:r>
        <w:rPr>
          <w:rFonts w:hint="eastAsia"/>
          <w:lang w:val="en-US" w:eastAsia="zh-CN"/>
        </w:rPr>
        <w:t>水泥</w:t>
      </w:r>
      <w:r>
        <w:t>产品标准</w:t>
      </w:r>
      <w:r>
        <w:tab/>
      </w:r>
      <w:r>
        <w:fldChar w:fldCharType="begin"/>
      </w:r>
      <w:r>
        <w:instrText xml:space="preserve"> PAGEREF _Toc11170 \h </w:instrText>
      </w:r>
      <w:r>
        <w:fldChar w:fldCharType="separate"/>
      </w:r>
      <w:r>
        <w:t>13</w:t>
      </w:r>
      <w:r>
        <w:fldChar w:fldCharType="end"/>
      </w:r>
      <w:r>
        <w:rPr>
          <w:rFonts w:ascii="Times New Roman" w:hAnsi="Times New Roman"/>
        </w:rPr>
        <w:fldChar w:fldCharType="end"/>
      </w:r>
    </w:p>
    <w:p w14:paraId="474AFAAE">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_Toc23519 </w:instrText>
      </w:r>
      <w:r>
        <w:rPr>
          <w:rFonts w:ascii="Times New Roman" w:hAnsi="Times New Roman"/>
        </w:rPr>
        <w:fldChar w:fldCharType="separate"/>
      </w:r>
      <w:r>
        <w:rPr>
          <w:szCs w:val="32"/>
        </w:rPr>
        <w:t>附录B</w:t>
      </w:r>
      <w:r>
        <w:rPr>
          <w:szCs w:val="32"/>
        </w:rPr>
        <w:t xml:space="preserve"> </w:t>
      </w:r>
      <w:r>
        <w:t>（资料性）</w:t>
      </w:r>
      <w:r>
        <w:t xml:space="preserve"> </w:t>
      </w:r>
      <w:r>
        <w:t>现场数据采集信息</w:t>
      </w:r>
      <w:r>
        <w:tab/>
      </w:r>
      <w:r>
        <w:fldChar w:fldCharType="begin"/>
      </w:r>
      <w:r>
        <w:instrText xml:space="preserve"> PAGEREF _Toc23519 \h </w:instrText>
      </w:r>
      <w:r>
        <w:fldChar w:fldCharType="separate"/>
      </w:r>
      <w:r>
        <w:t>15</w:t>
      </w:r>
      <w:r>
        <w:fldChar w:fldCharType="end"/>
      </w:r>
      <w:r>
        <w:rPr>
          <w:rFonts w:ascii="Times New Roman" w:hAnsi="Times New Roman"/>
        </w:rPr>
        <w:fldChar w:fldCharType="end"/>
      </w:r>
    </w:p>
    <w:p w14:paraId="2F0DC21E">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_Toc25771 </w:instrText>
      </w:r>
      <w:r>
        <w:rPr>
          <w:rFonts w:ascii="Times New Roman" w:hAnsi="Times New Roman"/>
        </w:rPr>
        <w:fldChar w:fldCharType="separate"/>
      </w:r>
      <w:r>
        <w:rPr>
          <w:szCs w:val="32"/>
        </w:rPr>
        <w:t>附录C</w:t>
      </w:r>
      <w:r>
        <w:rPr>
          <w:szCs w:val="32"/>
        </w:rPr>
        <w:t xml:space="preserve"> </w:t>
      </w:r>
      <w:r>
        <w:t>（资料性）</w:t>
      </w:r>
      <w:r>
        <w:t xml:space="preserve"> </w:t>
      </w:r>
      <w:r>
        <w:t>次级数据采集信息</w:t>
      </w:r>
      <w:r>
        <w:tab/>
      </w:r>
      <w:r>
        <w:fldChar w:fldCharType="begin"/>
      </w:r>
      <w:r>
        <w:instrText xml:space="preserve"> PAGEREF _Toc25771 \h </w:instrText>
      </w:r>
      <w:r>
        <w:fldChar w:fldCharType="separate"/>
      </w:r>
      <w:r>
        <w:t>16</w:t>
      </w:r>
      <w:r>
        <w:fldChar w:fldCharType="end"/>
      </w:r>
      <w:r>
        <w:rPr>
          <w:rFonts w:ascii="Times New Roman" w:hAnsi="Times New Roman"/>
        </w:rPr>
        <w:fldChar w:fldCharType="end"/>
      </w:r>
    </w:p>
    <w:p w14:paraId="480B7DB6">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_Toc20909 </w:instrText>
      </w:r>
      <w:r>
        <w:rPr>
          <w:rFonts w:ascii="Times New Roman" w:hAnsi="Times New Roman"/>
        </w:rPr>
        <w:fldChar w:fldCharType="separate"/>
      </w:r>
      <w:r>
        <w:rPr>
          <w:szCs w:val="32"/>
        </w:rPr>
        <w:t>附录D</w:t>
      </w:r>
      <w:r>
        <w:rPr>
          <w:szCs w:val="32"/>
        </w:rPr>
        <w:t xml:space="preserve"> </w:t>
      </w:r>
      <w:r>
        <w:t>（资料性）</w:t>
      </w:r>
      <w:r>
        <w:t xml:space="preserve"> </w:t>
      </w:r>
      <w:r>
        <w:rPr>
          <w:rFonts w:hint="eastAsia"/>
        </w:rPr>
        <w:t>GWP参考值</w:t>
      </w:r>
      <w:r>
        <w:tab/>
      </w:r>
      <w:r>
        <w:fldChar w:fldCharType="begin"/>
      </w:r>
      <w:r>
        <w:instrText xml:space="preserve"> PAGEREF _Toc20909 \h </w:instrText>
      </w:r>
      <w:r>
        <w:fldChar w:fldCharType="separate"/>
      </w:r>
      <w:r>
        <w:t>17</w:t>
      </w:r>
      <w:r>
        <w:fldChar w:fldCharType="end"/>
      </w:r>
      <w:r>
        <w:rPr>
          <w:rFonts w:ascii="Times New Roman" w:hAnsi="Times New Roman"/>
        </w:rPr>
        <w:fldChar w:fldCharType="end"/>
      </w:r>
    </w:p>
    <w:p w14:paraId="62312757">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_Toc14508 </w:instrText>
      </w:r>
      <w:r>
        <w:rPr>
          <w:rFonts w:ascii="Times New Roman" w:hAnsi="Times New Roman"/>
        </w:rPr>
        <w:fldChar w:fldCharType="separate"/>
      </w:r>
      <w:r>
        <w:rPr>
          <w:rFonts w:ascii="Times New Roman"/>
          <w:kern w:val="2"/>
          <w:szCs w:val="32"/>
        </w:rPr>
        <w:t>附录E</w:t>
      </w:r>
      <w:r>
        <w:rPr>
          <w:rFonts w:ascii="Times New Roman"/>
          <w:kern w:val="2"/>
          <w:szCs w:val="32"/>
        </w:rPr>
        <w:t xml:space="preserve"> </w:t>
      </w:r>
      <w:r>
        <w:rPr>
          <w:rFonts w:ascii="Times New Roman"/>
          <w:kern w:val="2"/>
          <w:szCs w:val="32"/>
        </w:rPr>
        <w:t>（资料性）</w:t>
      </w:r>
      <w:r>
        <w:rPr>
          <w:rFonts w:ascii="Times New Roman"/>
          <w:kern w:val="2"/>
          <w:szCs w:val="32"/>
        </w:rPr>
        <w:t xml:space="preserve"> </w:t>
      </w:r>
      <w:r>
        <w:rPr>
          <w:rFonts w:ascii="Times New Roman"/>
          <w:kern w:val="2"/>
          <w:szCs w:val="32"/>
        </w:rPr>
        <w:t>产品碳足迹报告（模板）</w:t>
      </w:r>
      <w:r>
        <w:tab/>
      </w:r>
      <w:r>
        <w:fldChar w:fldCharType="begin"/>
      </w:r>
      <w:r>
        <w:instrText xml:space="preserve"> PAGEREF _Toc14508 \h </w:instrText>
      </w:r>
      <w:r>
        <w:fldChar w:fldCharType="separate"/>
      </w:r>
      <w:r>
        <w:t>18</w:t>
      </w:r>
      <w:r>
        <w:fldChar w:fldCharType="end"/>
      </w:r>
      <w:r>
        <w:rPr>
          <w:rFonts w:ascii="Times New Roman" w:hAnsi="Times New Roman"/>
        </w:rPr>
        <w:fldChar w:fldCharType="end"/>
      </w:r>
    </w:p>
    <w:p w14:paraId="07799925">
      <w:pPr>
        <w:pStyle w:val="22"/>
        <w:tabs>
          <w:tab w:val="right" w:leader="dot" w:pos="9354"/>
          <w:tab w:val="clear" w:pos="9242"/>
        </w:tabs>
      </w:pPr>
      <w:r>
        <w:rPr>
          <w:rFonts w:ascii="Times New Roman" w:hAnsi="Times New Roman"/>
        </w:rPr>
        <w:fldChar w:fldCharType="begin"/>
      </w:r>
      <w:r>
        <w:rPr>
          <w:rFonts w:ascii="Times New Roman" w:hAnsi="Times New Roman"/>
        </w:rPr>
        <w:instrText xml:space="preserve"> HYPERLINK \l _Toc27915 </w:instrText>
      </w:r>
      <w:r>
        <w:rPr>
          <w:rFonts w:ascii="Times New Roman" w:hAnsi="Times New Roman"/>
        </w:rPr>
        <w:fldChar w:fldCharType="separate"/>
      </w:r>
      <w:r>
        <w:rPr>
          <w:szCs w:val="32"/>
        </w:rPr>
        <w:t>参考文献</w:t>
      </w:r>
      <w:r>
        <w:tab/>
      </w:r>
      <w:r>
        <w:fldChar w:fldCharType="begin"/>
      </w:r>
      <w:r>
        <w:instrText xml:space="preserve"> PAGEREF _Toc27915 \h </w:instrText>
      </w:r>
      <w:r>
        <w:fldChar w:fldCharType="separate"/>
      </w:r>
      <w:r>
        <w:t>22</w:t>
      </w:r>
      <w:r>
        <w:fldChar w:fldCharType="end"/>
      </w:r>
      <w:r>
        <w:rPr>
          <w:rFonts w:ascii="Times New Roman" w:hAnsi="Times New Roman"/>
        </w:rPr>
        <w:fldChar w:fldCharType="end"/>
      </w:r>
    </w:p>
    <w:p w14:paraId="6506C60F">
      <w:pPr>
        <w:pStyle w:val="2"/>
        <w:spacing w:line="276" w:lineRule="auto"/>
        <w:rPr>
          <w:rFonts w:ascii="Times New Roman" w:hAnsi="Times New Roman"/>
          <w:sz w:val="32"/>
        </w:rPr>
        <w:sectPr>
          <w:headerReference r:id="rId6" w:type="first"/>
          <w:footerReference r:id="rId9" w:type="first"/>
          <w:headerReference r:id="rId5" w:type="default"/>
          <w:footerReference r:id="rId7" w:type="default"/>
          <w:footerReference r:id="rId8" w:type="even"/>
          <w:pgSz w:w="11906" w:h="16838"/>
          <w:pgMar w:top="1052" w:right="1134" w:bottom="1440" w:left="1418" w:header="1134" w:footer="1134" w:gutter="0"/>
          <w:pgNumType w:fmt="upperRoman" w:start="1"/>
          <w:cols w:space="425" w:num="1"/>
          <w:formProt w:val="0"/>
          <w:titlePg/>
          <w:docGrid w:type="linesAndChars" w:linePitch="312" w:charSpace="0"/>
        </w:sectPr>
      </w:pPr>
      <w:r>
        <w:rPr>
          <w:rFonts w:ascii="Times New Roman" w:hAnsi="Times New Roman"/>
        </w:rPr>
        <w:fldChar w:fldCharType="end"/>
      </w:r>
    </w:p>
    <w:p w14:paraId="4ED2E79B">
      <w:pPr>
        <w:spacing w:line="276" w:lineRule="auto"/>
        <w:jc w:val="center"/>
        <w:rPr>
          <w:sz w:val="32"/>
        </w:rPr>
      </w:pPr>
      <w:r>
        <w:rPr>
          <w:rFonts w:hint="eastAsia" w:ascii="黑体" w:hAnsi="黑体" w:eastAsia="黑体" w:cs="黑体"/>
          <w:sz w:val="32"/>
        </w:rPr>
        <w:t>前  言</w:t>
      </w:r>
    </w:p>
    <w:p w14:paraId="0CBA64A1">
      <w:pPr>
        <w:spacing w:line="276" w:lineRule="auto"/>
        <w:jc w:val="center"/>
      </w:pPr>
    </w:p>
    <w:p w14:paraId="6DA43DC4">
      <w:pPr>
        <w:autoSpaceDE w:val="0"/>
        <w:autoSpaceDN w:val="0"/>
        <w:adjustRightInd w:val="0"/>
        <w:spacing w:line="276" w:lineRule="auto"/>
        <w:ind w:firstLine="420" w:firstLineChars="200"/>
      </w:pPr>
      <w:r>
        <w:t>本文件按照GB/T 1.1-2020《标准化工作导则 第1部分：标准化文件的结构和起草规则》的规定起草。</w:t>
      </w:r>
    </w:p>
    <w:p w14:paraId="64BDB5DB">
      <w:pPr>
        <w:autoSpaceDE w:val="0"/>
        <w:autoSpaceDN w:val="0"/>
        <w:adjustRightInd w:val="0"/>
        <w:spacing w:line="276" w:lineRule="auto"/>
        <w:ind w:firstLine="420" w:firstLineChars="200"/>
      </w:pPr>
      <w:r>
        <w:t>请注意本文件的某些内容可能涉及专利。本文件的发布机构不承担识别专利的责任。</w:t>
      </w:r>
    </w:p>
    <w:p w14:paraId="21E2F4F3">
      <w:pPr>
        <w:kinsoku/>
        <w:wordWrap/>
        <w:overflowPunct/>
        <w:topLinePunct w:val="0"/>
        <w:autoSpaceDE w:val="0"/>
        <w:autoSpaceDN w:val="0"/>
        <w:bidi w:val="0"/>
        <w:adjustRightInd w:val="0"/>
        <w:snapToGrid/>
        <w:spacing w:line="360" w:lineRule="auto"/>
        <w:ind w:firstLine="420" w:firstLineChars="200"/>
        <w:rPr>
          <w:rFonts w:hint="default" w:ascii="Times New Roman" w:hAnsi="Times New Roman" w:eastAsia="宋体" w:cs="Times New Roman"/>
          <w:kern w:val="0"/>
        </w:rPr>
      </w:pPr>
      <w:r>
        <w:rPr>
          <w:rFonts w:hint="default" w:ascii="Times New Roman" w:hAnsi="Times New Roman" w:eastAsia="宋体" w:cs="Times New Roman"/>
          <w:kern w:val="0"/>
        </w:rPr>
        <w:t>本文件由中国建筑材料联合会提出</w:t>
      </w:r>
      <w:r>
        <w:rPr>
          <w:rFonts w:hint="default" w:ascii="Times New Roman" w:hAnsi="Times New Roman" w:eastAsia="宋体" w:cs="Times New Roman"/>
          <w:color w:val="000000"/>
          <w:kern w:val="0"/>
        </w:rPr>
        <w:t>并</w:t>
      </w:r>
      <w:r>
        <w:rPr>
          <w:rFonts w:hint="default" w:ascii="Times New Roman" w:hAnsi="Times New Roman" w:eastAsia="宋体" w:cs="Times New Roman"/>
          <w:kern w:val="0"/>
        </w:rPr>
        <w:t>归口。</w:t>
      </w:r>
    </w:p>
    <w:p w14:paraId="79D8F263">
      <w:pPr>
        <w:autoSpaceDE w:val="0"/>
        <w:autoSpaceDN w:val="0"/>
        <w:adjustRightInd w:val="0"/>
        <w:spacing w:line="276" w:lineRule="auto"/>
        <w:ind w:firstLine="420" w:firstLineChars="200"/>
      </w:pPr>
      <w:r>
        <w:t xml:space="preserve">本文件起草单位： </w:t>
      </w:r>
    </w:p>
    <w:p w14:paraId="03D3E19B">
      <w:pPr>
        <w:autoSpaceDE w:val="0"/>
        <w:autoSpaceDN w:val="0"/>
        <w:adjustRightInd w:val="0"/>
        <w:spacing w:line="276" w:lineRule="auto"/>
        <w:ind w:firstLine="420" w:firstLineChars="200"/>
      </w:pPr>
      <w:r>
        <w:t xml:space="preserve">本文件主要起草人： </w:t>
      </w:r>
    </w:p>
    <w:p w14:paraId="65A0E005">
      <w:pPr>
        <w:autoSpaceDE w:val="0"/>
        <w:autoSpaceDN w:val="0"/>
        <w:adjustRightInd w:val="0"/>
        <w:spacing w:line="276" w:lineRule="auto"/>
        <w:rPr>
          <w:kern w:val="0"/>
          <w:sz w:val="20"/>
          <w:szCs w:val="20"/>
        </w:rPr>
      </w:pPr>
    </w:p>
    <w:p w14:paraId="755CEEF9">
      <w:pPr>
        <w:autoSpaceDE w:val="0"/>
        <w:autoSpaceDN w:val="0"/>
        <w:adjustRightInd w:val="0"/>
        <w:spacing w:line="276" w:lineRule="auto"/>
        <w:rPr>
          <w:kern w:val="0"/>
          <w:sz w:val="20"/>
          <w:szCs w:val="20"/>
        </w:rPr>
        <w:sectPr>
          <w:pgSz w:w="11906" w:h="16838"/>
          <w:pgMar w:top="1052" w:right="1134" w:bottom="1440" w:left="1418" w:header="1134" w:footer="1134" w:gutter="0"/>
          <w:pgNumType w:fmt="upperRoman" w:start="1"/>
          <w:cols w:space="425" w:num="1"/>
          <w:formProt w:val="0"/>
          <w:titlePg/>
          <w:docGrid w:type="linesAndChars" w:linePitch="312" w:charSpace="0"/>
        </w:sectPr>
      </w:pPr>
    </w:p>
    <w:p w14:paraId="268DBA82">
      <w:pPr>
        <w:pStyle w:val="54"/>
        <w:spacing w:before="0" w:after="0" w:line="276" w:lineRule="auto"/>
        <w:outlineLvl w:val="9"/>
        <w:rPr>
          <w:rFonts w:hint="eastAsia" w:ascii="Times New Roman" w:eastAsia="宋体"/>
          <w:b/>
          <w:lang w:eastAsia="zh-CN"/>
        </w:rPr>
      </w:pPr>
      <w:r>
        <w:rPr>
          <w:rFonts w:ascii="Times New Roman" w:eastAsia="宋体"/>
          <w:b/>
          <w:szCs w:val="21"/>
        </w:rPr>
        <w:t xml:space="preserve">温室气体 产品碳足迹量化方法与要求 </w:t>
      </w:r>
      <w:r>
        <w:rPr>
          <w:rFonts w:hint="eastAsia" w:ascii="Times New Roman" w:eastAsia="宋体"/>
          <w:b/>
          <w:szCs w:val="21"/>
          <w:lang w:val="en-US" w:eastAsia="zh-CN"/>
        </w:rPr>
        <w:t>水泥</w:t>
      </w:r>
    </w:p>
    <w:p w14:paraId="505AB188">
      <w:pPr>
        <w:pStyle w:val="49"/>
        <w:numPr>
          <w:ilvl w:val="0"/>
          <w:numId w:val="10"/>
        </w:numPr>
        <w:spacing w:beforeLines="0" w:afterLines="0" w:line="276" w:lineRule="auto"/>
        <w:outlineLvl w:val="0"/>
        <w:rPr>
          <w:rFonts w:ascii="Times New Roman" w:eastAsia="宋体"/>
          <w:b/>
          <w:bCs/>
        </w:rPr>
      </w:pPr>
      <w:bookmarkStart w:id="4" w:name="_Toc28605"/>
      <w:r>
        <w:rPr>
          <w:rFonts w:ascii="Times New Roman" w:eastAsia="宋体"/>
          <w:b/>
          <w:bCs/>
        </w:rPr>
        <w:t>范围</w:t>
      </w:r>
      <w:bookmarkEnd w:id="4"/>
    </w:p>
    <w:p w14:paraId="00813E4E">
      <w:pPr>
        <w:pStyle w:val="26"/>
        <w:spacing w:line="276" w:lineRule="auto"/>
        <w:ind w:firstLineChars="0"/>
        <w:rPr>
          <w:rFonts w:ascii="Times New Roman"/>
          <w:szCs w:val="21"/>
        </w:rPr>
      </w:pPr>
      <w:r>
        <w:rPr>
          <w:rFonts w:ascii="Times New Roman"/>
          <w:szCs w:val="21"/>
        </w:rPr>
        <w:t>本文件规定了</w:t>
      </w:r>
      <w:r>
        <w:rPr>
          <w:rFonts w:hint="eastAsia" w:ascii="Times New Roman"/>
          <w:szCs w:val="21"/>
          <w:lang w:val="en-US" w:eastAsia="zh-CN"/>
        </w:rPr>
        <w:t>水泥</w:t>
      </w:r>
      <w:r>
        <w:rPr>
          <w:rFonts w:ascii="Times New Roman"/>
          <w:szCs w:val="21"/>
        </w:rPr>
        <w:t>产品碳足迹的量化目的、量化范围、清单分析、影响评价、结果解释、</w:t>
      </w:r>
      <w:r>
        <w:rPr>
          <w:rFonts w:hint="eastAsia" w:ascii="Times New Roman"/>
          <w:szCs w:val="21"/>
        </w:rPr>
        <w:t>鉴定性评审、</w:t>
      </w:r>
      <w:r>
        <w:rPr>
          <w:rFonts w:hint="eastAsia" w:ascii="Times New Roman"/>
          <w:szCs w:val="21"/>
          <w:lang w:val="en-US" w:eastAsia="zh-CN"/>
        </w:rPr>
        <w:t>可比性、</w:t>
      </w:r>
      <w:r>
        <w:rPr>
          <w:rFonts w:ascii="Times New Roman"/>
          <w:szCs w:val="21"/>
        </w:rPr>
        <w:t>绩效追踪以及报告等内容。</w:t>
      </w:r>
    </w:p>
    <w:p w14:paraId="195ED6CC">
      <w:pPr>
        <w:pStyle w:val="26"/>
        <w:spacing w:line="276" w:lineRule="auto"/>
        <w:ind w:firstLineChars="0"/>
        <w:rPr>
          <w:rFonts w:ascii="Times New Roman"/>
          <w:szCs w:val="21"/>
        </w:rPr>
      </w:pPr>
      <w:r>
        <w:rPr>
          <w:rFonts w:ascii="Times New Roman"/>
          <w:szCs w:val="21"/>
        </w:rPr>
        <w:t>本文件适用于</w:t>
      </w:r>
      <w:r>
        <w:rPr>
          <w:rFonts w:hint="eastAsia" w:ascii="Times New Roman"/>
          <w:szCs w:val="21"/>
          <w:lang w:val="en-US" w:eastAsia="zh-CN"/>
        </w:rPr>
        <w:t>水泥</w:t>
      </w:r>
      <w:r>
        <w:rPr>
          <w:rFonts w:ascii="Times New Roman"/>
          <w:szCs w:val="21"/>
        </w:rPr>
        <w:t>的产品碳足迹</w:t>
      </w:r>
      <w:r>
        <w:rPr>
          <w:rFonts w:hint="eastAsia" w:ascii="Times New Roman"/>
          <w:szCs w:val="21"/>
        </w:rPr>
        <w:t>量化与评价。</w:t>
      </w:r>
    </w:p>
    <w:p w14:paraId="6F4B2B0E">
      <w:pPr>
        <w:pStyle w:val="49"/>
        <w:numPr>
          <w:ilvl w:val="0"/>
          <w:numId w:val="10"/>
        </w:numPr>
        <w:spacing w:beforeLines="0" w:afterLines="0" w:line="276" w:lineRule="auto"/>
        <w:outlineLvl w:val="0"/>
        <w:rPr>
          <w:rFonts w:ascii="Times New Roman" w:eastAsia="宋体"/>
          <w:b/>
          <w:bCs/>
        </w:rPr>
      </w:pPr>
      <w:bookmarkStart w:id="5" w:name="_Toc7362"/>
      <w:r>
        <w:rPr>
          <w:rFonts w:ascii="Times New Roman" w:eastAsia="宋体"/>
          <w:b/>
          <w:bCs/>
        </w:rPr>
        <w:t>规范性引用文件</w:t>
      </w:r>
      <w:bookmarkEnd w:id="5"/>
    </w:p>
    <w:p w14:paraId="131368CF">
      <w:pPr>
        <w:pStyle w:val="26"/>
        <w:spacing w:line="276" w:lineRule="auto"/>
        <w:ind w:firstLineChars="0"/>
        <w:rPr>
          <w:rFonts w:ascii="Times New Roman"/>
        </w:rPr>
      </w:pPr>
      <w:bookmarkStart w:id="6" w:name="_Toc384053574"/>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735347A">
      <w:pPr>
        <w:pStyle w:val="26"/>
        <w:spacing w:line="276" w:lineRule="auto"/>
        <w:ind w:firstLineChars="0"/>
        <w:rPr>
          <w:rFonts w:ascii="Times New Roman"/>
        </w:rPr>
      </w:pPr>
      <w:r>
        <w:rPr>
          <w:rFonts w:ascii="Times New Roman"/>
        </w:rPr>
        <w:t>GB/T XXXX-XXXX 温室气体 产品碳足迹 量化要求和指南</w:t>
      </w:r>
    </w:p>
    <w:p w14:paraId="180A2AE9">
      <w:pPr>
        <w:pStyle w:val="26"/>
        <w:spacing w:line="276" w:lineRule="auto"/>
        <w:ind w:firstLineChars="0"/>
        <w:rPr>
          <w:rFonts w:ascii="Times New Roman"/>
        </w:rPr>
      </w:pPr>
      <w:r>
        <w:rPr>
          <w:rFonts w:ascii="Times New Roman"/>
        </w:rPr>
        <w:t>ISO/TS 14071 环境管理 生命周期评价 鉴定性评审过程和评审员能力：ISO 14044:2006 的附加要求和 指 南 (Environmental management-Life cycle assessment - Critical review processes and reviewer</w:t>
      </w:r>
      <w:r>
        <w:rPr>
          <w:rFonts w:hint="eastAsia" w:ascii="Times New Roman"/>
        </w:rPr>
        <w:t xml:space="preserve"> </w:t>
      </w:r>
      <w:r>
        <w:rPr>
          <w:rFonts w:ascii="Times New Roman"/>
        </w:rPr>
        <w:t>competencies: Additional requirements and guidelines to ISO 14044:2006)</w:t>
      </w:r>
    </w:p>
    <w:p w14:paraId="2AD562C6">
      <w:pPr>
        <w:pStyle w:val="49"/>
        <w:numPr>
          <w:ilvl w:val="0"/>
          <w:numId w:val="10"/>
        </w:numPr>
        <w:spacing w:beforeLines="0" w:afterLines="0" w:line="276" w:lineRule="auto"/>
        <w:outlineLvl w:val="0"/>
        <w:rPr>
          <w:rFonts w:ascii="Times New Roman" w:eastAsia="宋体"/>
          <w:b/>
          <w:bCs/>
        </w:rPr>
      </w:pPr>
      <w:bookmarkStart w:id="7" w:name="_Toc32422"/>
      <w:r>
        <w:rPr>
          <w:rFonts w:ascii="Times New Roman" w:eastAsia="宋体"/>
          <w:b/>
          <w:bCs/>
        </w:rPr>
        <w:t>术语</w:t>
      </w:r>
      <w:bookmarkEnd w:id="6"/>
      <w:r>
        <w:rPr>
          <w:rFonts w:ascii="Times New Roman" w:eastAsia="宋体"/>
          <w:b/>
          <w:bCs/>
        </w:rPr>
        <w:t>和定义</w:t>
      </w:r>
      <w:bookmarkEnd w:id="7"/>
    </w:p>
    <w:p w14:paraId="7125CE62">
      <w:pPr>
        <w:pStyle w:val="26"/>
        <w:spacing w:line="276" w:lineRule="auto"/>
        <w:ind w:firstLineChars="0"/>
        <w:rPr>
          <w:rFonts w:ascii="Times New Roman"/>
          <w:szCs w:val="21"/>
        </w:rPr>
      </w:pPr>
      <w:r>
        <w:rPr>
          <w:rFonts w:ascii="Times New Roman"/>
        </w:rPr>
        <w:t xml:space="preserve">GB/T XXXX-XXXX </w:t>
      </w:r>
      <w:r>
        <w:rPr>
          <w:rFonts w:ascii="Times New Roman"/>
          <w:szCs w:val="21"/>
        </w:rPr>
        <w:t>界定的以及下列术语和定义适用于本文件。</w:t>
      </w:r>
    </w:p>
    <w:p w14:paraId="298CBE45">
      <w:pPr>
        <w:pStyle w:val="46"/>
        <w:numPr>
          <w:ilvl w:val="1"/>
          <w:numId w:val="10"/>
        </w:numPr>
        <w:spacing w:before="156" w:afterLines="0" w:line="276" w:lineRule="auto"/>
        <w:ind w:left="420" w:leftChars="200" w:firstLine="0"/>
        <w:outlineLvl w:val="1"/>
        <w:rPr>
          <w:rFonts w:ascii="Times New Roman" w:eastAsia="宋体"/>
          <w:b/>
          <w:bCs/>
        </w:rPr>
      </w:pPr>
      <w:bookmarkStart w:id="8" w:name="_Toc515069358"/>
      <w:bookmarkEnd w:id="8"/>
      <w:r>
        <w:rPr>
          <w:rFonts w:ascii="Times New Roman" w:eastAsia="宋体"/>
          <w:b/>
          <w:bCs/>
        </w:rPr>
        <w:br w:type="textWrapping"/>
      </w:r>
      <w:r>
        <w:rPr>
          <w:rFonts w:ascii="Times New Roman" w:eastAsia="宋体"/>
          <w:b/>
          <w:bCs/>
        </w:rPr>
        <w:t>温室气体 greenhouse gas</w:t>
      </w:r>
      <w:r>
        <w:rPr>
          <w:rFonts w:ascii="Times New Roman" w:eastAsia="宋体"/>
          <w:b/>
          <w:bCs/>
        </w:rPr>
        <w:br w:type="textWrapping"/>
      </w:r>
      <w:r>
        <w:rPr>
          <w:rFonts w:ascii="Times New Roman" w:eastAsia="宋体"/>
          <w:b/>
          <w:bCs/>
        </w:rPr>
        <w:t>GHG</w:t>
      </w:r>
    </w:p>
    <w:p w14:paraId="6B5345EA">
      <w:pPr>
        <w:pStyle w:val="26"/>
        <w:spacing w:line="276" w:lineRule="auto"/>
        <w:ind w:firstLineChars="0"/>
        <w:rPr>
          <w:rFonts w:ascii="Times New Roman"/>
          <w:szCs w:val="21"/>
        </w:rPr>
      </w:pPr>
      <w:r>
        <w:rPr>
          <w:rFonts w:ascii="Times New Roman"/>
          <w:szCs w:val="21"/>
        </w:rPr>
        <w:t>大气层中自然存在的和由于人类活动产生的能够吸收和散发由地球表面、大气层和云层所产生的、波长在红外光谱内的辐射的气态成分。</w:t>
      </w:r>
    </w:p>
    <w:p w14:paraId="05152974">
      <w:pPr>
        <w:pStyle w:val="26"/>
        <w:spacing w:line="276" w:lineRule="auto"/>
        <w:ind w:left="840" w:leftChars="200" w:hanging="420" w:firstLineChars="0"/>
        <w:rPr>
          <w:rFonts w:ascii="Times New Roman"/>
          <w:szCs w:val="21"/>
        </w:rPr>
      </w:pPr>
      <w:r>
        <w:rPr>
          <w:rFonts w:ascii="Times New Roman" w:eastAsia="黑体"/>
          <w:szCs w:val="21"/>
        </w:rPr>
        <w:t>注：</w:t>
      </w:r>
      <w:r>
        <w:rPr>
          <w:rFonts w:ascii="Times New Roman"/>
          <w:szCs w:val="21"/>
        </w:rPr>
        <w:t>本文件涉及的温室气体包括二氧化碳（CO</w:t>
      </w:r>
      <w:r>
        <w:rPr>
          <w:rFonts w:ascii="Times New Roman"/>
          <w:szCs w:val="21"/>
          <w:vertAlign w:val="subscript"/>
        </w:rPr>
        <w:t>2</w:t>
      </w:r>
      <w:r>
        <w:rPr>
          <w:rFonts w:ascii="Times New Roman"/>
          <w:szCs w:val="21"/>
        </w:rPr>
        <w:t>）、甲烷（CH</w:t>
      </w:r>
      <w:r>
        <w:rPr>
          <w:rFonts w:ascii="Times New Roman"/>
          <w:szCs w:val="21"/>
          <w:vertAlign w:val="subscript"/>
        </w:rPr>
        <w:t>4</w:t>
      </w:r>
      <w:r>
        <w:rPr>
          <w:rFonts w:ascii="Times New Roman"/>
          <w:szCs w:val="21"/>
        </w:rPr>
        <w:t>）、氧化亚氮（N</w:t>
      </w:r>
      <w:r>
        <w:rPr>
          <w:rFonts w:ascii="Times New Roman"/>
          <w:szCs w:val="21"/>
          <w:vertAlign w:val="subscript"/>
        </w:rPr>
        <w:t>2</w:t>
      </w:r>
      <w:r>
        <w:rPr>
          <w:rFonts w:ascii="Times New Roman"/>
          <w:szCs w:val="21"/>
        </w:rPr>
        <w:t>O）、氢氟碳化物（HFCs）、全氟碳化物（PFCs）、六氟化硫（SF</w:t>
      </w:r>
      <w:r>
        <w:rPr>
          <w:rFonts w:ascii="Times New Roman"/>
          <w:szCs w:val="21"/>
          <w:vertAlign w:val="subscript"/>
        </w:rPr>
        <w:t>6</w:t>
      </w:r>
      <w:r>
        <w:rPr>
          <w:rFonts w:ascii="Times New Roman"/>
          <w:szCs w:val="21"/>
        </w:rPr>
        <w:t>）和三氟化氮（NF</w:t>
      </w:r>
      <w:r>
        <w:rPr>
          <w:rFonts w:ascii="Times New Roman"/>
          <w:szCs w:val="21"/>
          <w:vertAlign w:val="subscript"/>
        </w:rPr>
        <w:t>3</w:t>
      </w:r>
      <w:r>
        <w:rPr>
          <w:rFonts w:ascii="Times New Roman"/>
          <w:szCs w:val="21"/>
        </w:rPr>
        <w:t>）。</w:t>
      </w:r>
    </w:p>
    <w:p w14:paraId="4647F00B">
      <w:pPr>
        <w:pStyle w:val="26"/>
        <w:spacing w:line="276" w:lineRule="auto"/>
        <w:ind w:firstLineChars="0"/>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2</w:t>
      </w:r>
      <w:r>
        <w:rPr>
          <w:rFonts w:ascii="Times New Roman"/>
          <w:color w:val="000000"/>
        </w:rPr>
        <w:t>.1</w:t>
      </w:r>
      <w:r>
        <w:rPr>
          <w:rFonts w:ascii="Times New Roman"/>
          <w:szCs w:val="21"/>
        </w:rPr>
        <w:t>]</w:t>
      </w:r>
    </w:p>
    <w:p w14:paraId="4FF5CC7B">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产品碳足迹 carbon footprint of a product</w:t>
      </w:r>
      <w:r>
        <w:rPr>
          <w:rFonts w:ascii="Times New Roman" w:eastAsia="宋体"/>
          <w:b/>
          <w:bCs/>
        </w:rPr>
        <w:br w:type="textWrapping"/>
      </w:r>
      <w:r>
        <w:rPr>
          <w:rFonts w:ascii="Times New Roman" w:eastAsia="宋体"/>
          <w:b/>
          <w:bCs/>
        </w:rPr>
        <w:t>CFP</w:t>
      </w:r>
    </w:p>
    <w:p w14:paraId="484C9567">
      <w:pPr>
        <w:pStyle w:val="26"/>
        <w:spacing w:line="276" w:lineRule="auto"/>
        <w:ind w:firstLineChars="0"/>
        <w:rPr>
          <w:rFonts w:ascii="Times New Roman"/>
          <w:szCs w:val="21"/>
        </w:rPr>
      </w:pPr>
      <w:r>
        <w:rPr>
          <w:rFonts w:ascii="Times New Roman"/>
          <w:szCs w:val="21"/>
        </w:rPr>
        <w:t>产品系统中的GHG排放量和GHG清除量之和，以二氧化碳当量表示，并基于气候变化这一单一环境影响类型进行生命周期评价。</w:t>
      </w:r>
    </w:p>
    <w:p w14:paraId="3E497D39">
      <w:pPr>
        <w:pStyle w:val="26"/>
        <w:spacing w:line="276" w:lineRule="auto"/>
        <w:ind w:left="840" w:leftChars="200" w:hanging="420" w:firstLineChars="0"/>
        <w:rPr>
          <w:rFonts w:ascii="Times New Roman" w:eastAsia="黑体"/>
          <w:szCs w:val="21"/>
        </w:rPr>
      </w:pPr>
      <w:r>
        <w:rPr>
          <w:rFonts w:ascii="Times New Roman" w:eastAsia="黑体"/>
          <w:szCs w:val="21"/>
        </w:rPr>
        <w:t>注1：</w:t>
      </w:r>
      <w:r>
        <w:rPr>
          <w:rFonts w:ascii="Times New Roman"/>
          <w:szCs w:val="21"/>
        </w:rPr>
        <w:t>产品碳足迹可用不同的图例区分和标示具体的GHG排放量和清除量，产品碳足迹也可被分解到其生命周期的各个阶段。</w:t>
      </w:r>
    </w:p>
    <w:p w14:paraId="67CC3546">
      <w:pPr>
        <w:pStyle w:val="26"/>
        <w:spacing w:line="276" w:lineRule="auto"/>
        <w:ind w:left="840" w:leftChars="200" w:hanging="420" w:firstLineChars="0"/>
        <w:rPr>
          <w:rFonts w:ascii="Times New Roman" w:eastAsia="黑体"/>
          <w:szCs w:val="21"/>
        </w:rPr>
      </w:pPr>
      <w:r>
        <w:rPr>
          <w:rFonts w:ascii="Times New Roman" w:eastAsia="黑体"/>
          <w:szCs w:val="21"/>
        </w:rPr>
        <w:t>注2：</w:t>
      </w:r>
      <w:r>
        <w:rPr>
          <w:rFonts w:ascii="Times New Roman"/>
          <w:szCs w:val="21"/>
        </w:rPr>
        <w:t>产品碳足迹研究报告中记录了产品碳足迹的量化结果，以每个功能单位的二氧化碳当量表示。</w:t>
      </w:r>
    </w:p>
    <w:p w14:paraId="02CC6573">
      <w:pPr>
        <w:pStyle w:val="26"/>
        <w:spacing w:line="276" w:lineRule="auto"/>
        <w:ind w:firstLineChars="0"/>
        <w:rPr>
          <w:rFonts w:ascii="Times New Roman"/>
          <w:color w:val="000000"/>
        </w:rPr>
      </w:pPr>
      <w:r>
        <w:rPr>
          <w:rFonts w:ascii="Times New Roman"/>
          <w:color w:val="000000"/>
        </w:rPr>
        <w:t>[来源：GB/T XXXXX-XXX，3.1.1]</w:t>
      </w:r>
    </w:p>
    <w:p w14:paraId="7ECD9857">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产品部分碳足迹 partial carbon footprint of a product</w:t>
      </w:r>
      <w:r>
        <w:rPr>
          <w:rFonts w:ascii="Times New Roman" w:eastAsia="宋体"/>
          <w:b/>
          <w:bCs/>
        </w:rPr>
        <w:br w:type="textWrapping"/>
      </w:r>
      <w:r>
        <w:rPr>
          <w:rFonts w:ascii="Times New Roman" w:eastAsia="宋体"/>
          <w:b/>
          <w:bCs/>
        </w:rPr>
        <w:t>partial CFP</w:t>
      </w:r>
    </w:p>
    <w:p w14:paraId="56EFDF9F">
      <w:pPr>
        <w:pStyle w:val="26"/>
        <w:spacing w:line="276" w:lineRule="auto"/>
        <w:ind w:firstLineChars="0"/>
        <w:rPr>
          <w:rFonts w:ascii="Times New Roman"/>
          <w:color w:val="000000"/>
        </w:rPr>
      </w:pPr>
      <w:r>
        <w:rPr>
          <w:rFonts w:ascii="Times New Roman"/>
          <w:color w:val="000000"/>
        </w:rPr>
        <w:t>在产品系统生命周期内的一个或多个选定阶段或过程中的GHG排放量和GHG清除量之和，并以二氧化碳当量表示。</w:t>
      </w:r>
    </w:p>
    <w:p w14:paraId="67EFE8C7">
      <w:pPr>
        <w:pStyle w:val="26"/>
        <w:spacing w:line="276" w:lineRule="auto"/>
        <w:ind w:left="840" w:leftChars="200" w:hanging="420" w:firstLineChars="0"/>
        <w:rPr>
          <w:rFonts w:ascii="Times New Roman" w:eastAsia="黑体"/>
          <w:szCs w:val="21"/>
        </w:rPr>
      </w:pPr>
      <w:r>
        <w:rPr>
          <w:rFonts w:ascii="Times New Roman" w:eastAsia="黑体"/>
          <w:szCs w:val="21"/>
        </w:rPr>
        <w:t>注1：</w:t>
      </w:r>
      <w:r>
        <w:rPr>
          <w:rFonts w:ascii="Times New Roman"/>
          <w:szCs w:val="21"/>
        </w:rPr>
        <w:t>产品部分碳足迹是基于或由与特定过程或足迹信息模型有关的数据汇集而成，这些数据是产品系统的一部分，可作为产品碳足迹量化的基础。</w:t>
      </w:r>
    </w:p>
    <w:p w14:paraId="6AECC075">
      <w:pPr>
        <w:pStyle w:val="26"/>
        <w:spacing w:line="276" w:lineRule="auto"/>
        <w:ind w:left="840" w:leftChars="200" w:hanging="420" w:firstLineChars="0"/>
        <w:rPr>
          <w:rFonts w:ascii="Times New Roman" w:eastAsia="黑体"/>
          <w:szCs w:val="21"/>
        </w:rPr>
      </w:pPr>
      <w:r>
        <w:rPr>
          <w:rFonts w:ascii="Times New Roman" w:eastAsia="黑体"/>
          <w:szCs w:val="21"/>
        </w:rPr>
        <w:t>注2：“</w:t>
      </w:r>
      <w:r>
        <w:rPr>
          <w:rFonts w:ascii="Times New Roman"/>
          <w:szCs w:val="21"/>
        </w:rPr>
        <w:t>足迹信息模型”的定义请参见 ISO 14026:2017，3.1.4。</w:t>
      </w:r>
    </w:p>
    <w:p w14:paraId="31B53221">
      <w:pPr>
        <w:pStyle w:val="26"/>
        <w:spacing w:line="276" w:lineRule="auto"/>
        <w:ind w:left="840" w:leftChars="200" w:hanging="420" w:firstLineChars="0"/>
        <w:rPr>
          <w:rFonts w:ascii="Times New Roman"/>
          <w:szCs w:val="21"/>
        </w:rPr>
      </w:pPr>
      <w:r>
        <w:rPr>
          <w:rFonts w:ascii="Times New Roman" w:eastAsia="黑体"/>
          <w:szCs w:val="21"/>
        </w:rPr>
        <w:t>注3：</w:t>
      </w:r>
      <w:r>
        <w:rPr>
          <w:rFonts w:ascii="Times New Roman"/>
          <w:szCs w:val="21"/>
        </w:rPr>
        <w:t>产品碳足迹研究报告中记录了产品部分碳足迹的量化结果，以每个声明单位的二氧化碳当量表示。</w:t>
      </w:r>
    </w:p>
    <w:p w14:paraId="76C69616">
      <w:pPr>
        <w:pStyle w:val="26"/>
        <w:spacing w:line="276" w:lineRule="auto"/>
        <w:ind w:left="840" w:leftChars="200" w:hanging="420" w:firstLineChars="0"/>
        <w:rPr>
          <w:rFonts w:ascii="Times New Roman"/>
          <w:szCs w:val="21"/>
        </w:rPr>
      </w:pPr>
      <w:r>
        <w:rPr>
          <w:rFonts w:ascii="Times New Roman"/>
          <w:color w:val="000000"/>
        </w:rPr>
        <w:t>[来源：GB/T XXXXX-XXX，3.1.2]</w:t>
      </w:r>
    </w:p>
    <w:p w14:paraId="4FEA1E18">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产品碳足迹绩效追踪 carbon footprint of a product performance tracking</w:t>
      </w:r>
      <w:r>
        <w:rPr>
          <w:rFonts w:ascii="Times New Roman" w:eastAsia="宋体"/>
          <w:b/>
          <w:bCs/>
        </w:rPr>
        <w:br w:type="textWrapping"/>
      </w:r>
      <w:r>
        <w:rPr>
          <w:rFonts w:ascii="Times New Roman" w:eastAsia="宋体"/>
          <w:b/>
          <w:bCs/>
        </w:rPr>
        <w:t>CFP performance tracking</w:t>
      </w:r>
    </w:p>
    <w:p w14:paraId="408C294A">
      <w:pPr>
        <w:pStyle w:val="26"/>
        <w:spacing w:line="276" w:lineRule="auto"/>
        <w:rPr>
          <w:rFonts w:ascii="Times New Roman"/>
          <w:szCs w:val="21"/>
        </w:rPr>
      </w:pPr>
      <w:r>
        <w:rPr>
          <w:rFonts w:ascii="Times New Roman"/>
          <w:szCs w:val="21"/>
        </w:rPr>
        <w:t>比较同一组织的一个特定产品在一段时间内的产品碳足迹或产品部分碳足迹。</w:t>
      </w:r>
    </w:p>
    <w:p w14:paraId="5EA87404">
      <w:pPr>
        <w:pStyle w:val="26"/>
        <w:spacing w:line="276" w:lineRule="auto"/>
        <w:ind w:left="840" w:leftChars="200" w:hanging="420" w:firstLineChars="0"/>
        <w:rPr>
          <w:rFonts w:ascii="Times New Roman" w:eastAsia="黑体"/>
          <w:szCs w:val="21"/>
        </w:rPr>
      </w:pPr>
      <w:r>
        <w:rPr>
          <w:rFonts w:ascii="Times New Roman" w:eastAsia="黑体"/>
          <w:szCs w:val="21"/>
        </w:rPr>
        <w:t>注：</w:t>
      </w:r>
      <w:r>
        <w:rPr>
          <w:rFonts w:ascii="Times New Roman"/>
          <w:szCs w:val="21"/>
        </w:rPr>
        <w:t>包括计算一个特定产品碳足迹在一段时间内的变化，或具有相同功能单位或声明单位的替代产品之间产品碳足迹在一段时间内的变化。</w:t>
      </w:r>
    </w:p>
    <w:p w14:paraId="0512A230">
      <w:pPr>
        <w:pStyle w:val="26"/>
        <w:spacing w:line="276" w:lineRule="auto"/>
        <w:rPr>
          <w:rFonts w:ascii="Times New Roman"/>
          <w:szCs w:val="21"/>
        </w:rPr>
      </w:pPr>
      <w:r>
        <w:rPr>
          <w:rFonts w:ascii="Times New Roman"/>
          <w:szCs w:val="21"/>
        </w:rPr>
        <w:t>[来源：</w:t>
      </w:r>
      <w:r>
        <w:rPr>
          <w:rFonts w:ascii="Times New Roman"/>
          <w:color w:val="000000"/>
        </w:rPr>
        <w:t>GB/T XXXXX-XXX，3.1.11</w:t>
      </w:r>
      <w:r>
        <w:rPr>
          <w:rFonts w:ascii="Times New Roman"/>
          <w:szCs w:val="21"/>
        </w:rPr>
        <w:t>]</w:t>
      </w:r>
    </w:p>
    <w:p w14:paraId="7A18B2F6">
      <w:pPr>
        <w:pStyle w:val="46"/>
        <w:numPr>
          <w:ilvl w:val="1"/>
          <w:numId w:val="10"/>
        </w:numPr>
        <w:spacing w:before="156" w:afterLines="0" w:line="276" w:lineRule="auto"/>
        <w:ind w:left="420" w:leftChars="200" w:firstLine="0"/>
        <w:outlineLvl w:val="1"/>
        <w:rPr>
          <w:rFonts w:ascii="Times New Roman" w:eastAsia="宋体"/>
        </w:rPr>
      </w:pPr>
      <w:r>
        <w:rPr>
          <w:rFonts w:ascii="Times New Roman" w:eastAsia="宋体"/>
        </w:rPr>
        <w:br w:type="textWrapping"/>
      </w:r>
      <w:r>
        <w:rPr>
          <w:rFonts w:ascii="Times New Roman" w:eastAsia="宋体"/>
          <w:b/>
          <w:bCs/>
        </w:rPr>
        <w:t>全球变暖潜势 global warming potential</w:t>
      </w:r>
      <w:r>
        <w:rPr>
          <w:rFonts w:ascii="Times New Roman" w:eastAsia="宋体"/>
          <w:b/>
          <w:bCs/>
        </w:rPr>
        <w:br w:type="textWrapping"/>
      </w:r>
      <w:r>
        <w:rPr>
          <w:rFonts w:ascii="Times New Roman" w:eastAsia="宋体"/>
          <w:b/>
          <w:bCs/>
        </w:rPr>
        <w:t>GWP</w:t>
      </w:r>
    </w:p>
    <w:p w14:paraId="50DEAD80">
      <w:pPr>
        <w:pStyle w:val="26"/>
        <w:spacing w:line="276" w:lineRule="auto"/>
        <w:rPr>
          <w:rFonts w:ascii="Times New Roman"/>
        </w:rPr>
      </w:pPr>
      <w:r>
        <w:rPr>
          <w:rFonts w:ascii="Times New Roman"/>
        </w:rPr>
        <w:t>将单位质量的某种温室气体在给定时间段内辐射强迫影响与等量二氧化碳辐射强迫影响相关联的系数。</w:t>
      </w:r>
    </w:p>
    <w:p w14:paraId="0AA2A7EE">
      <w:pPr>
        <w:pStyle w:val="26"/>
        <w:spacing w:line="276" w:lineRule="auto"/>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2.4</w:t>
      </w:r>
      <w:r>
        <w:rPr>
          <w:rFonts w:ascii="Times New Roman"/>
          <w:szCs w:val="21"/>
        </w:rPr>
        <w:t>]</w:t>
      </w:r>
    </w:p>
    <w:p w14:paraId="3200101C">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 xml:space="preserve">二氧化碳当量 carbon dioxide equivalent </w:t>
      </w:r>
      <w:r>
        <w:rPr>
          <w:rFonts w:ascii="Times New Roman" w:eastAsia="宋体"/>
          <w:b/>
          <w:bCs/>
        </w:rPr>
        <w:br w:type="textWrapping"/>
      </w:r>
      <w:r>
        <w:rPr>
          <w:rFonts w:ascii="Times New Roman" w:eastAsia="宋体"/>
          <w:b/>
          <w:bCs/>
        </w:rPr>
        <w:t>CO</w:t>
      </w:r>
      <w:r>
        <w:rPr>
          <w:rFonts w:ascii="Times New Roman" w:eastAsia="宋体"/>
          <w:b/>
          <w:bCs/>
          <w:vertAlign w:val="subscript"/>
        </w:rPr>
        <w:t>2</w:t>
      </w:r>
      <w:r>
        <w:rPr>
          <w:rFonts w:ascii="Times New Roman" w:eastAsia="宋体"/>
          <w:b/>
          <w:bCs/>
        </w:rPr>
        <w:t>e</w:t>
      </w:r>
    </w:p>
    <w:p w14:paraId="67626209">
      <w:pPr>
        <w:pStyle w:val="26"/>
        <w:spacing w:line="276" w:lineRule="auto"/>
        <w:ind w:firstLineChars="0"/>
        <w:rPr>
          <w:rFonts w:ascii="Times New Roman"/>
          <w:szCs w:val="21"/>
        </w:rPr>
      </w:pPr>
      <w:r>
        <w:rPr>
          <w:rFonts w:ascii="Times New Roman"/>
          <w:szCs w:val="21"/>
        </w:rPr>
        <w:t>比较某种温室气体与二氧化碳的辐射强迫的单位。</w:t>
      </w:r>
    </w:p>
    <w:p w14:paraId="11DD5659">
      <w:pPr>
        <w:pStyle w:val="26"/>
        <w:spacing w:line="276" w:lineRule="auto"/>
        <w:ind w:firstLineChars="0"/>
        <w:rPr>
          <w:rFonts w:ascii="Times New Roman"/>
          <w:szCs w:val="21"/>
        </w:rPr>
      </w:pPr>
      <w:r>
        <w:rPr>
          <w:rFonts w:ascii="Times New Roman" w:eastAsia="黑体"/>
          <w:szCs w:val="21"/>
        </w:rPr>
        <w:t>注：</w:t>
      </w:r>
      <w:r>
        <w:rPr>
          <w:rFonts w:ascii="Times New Roman"/>
          <w:szCs w:val="21"/>
        </w:rPr>
        <w:t>给定温室气体的二氧化碳当量等于该温室气体质量乘以它的全球变暖潜势值。</w:t>
      </w:r>
    </w:p>
    <w:p w14:paraId="36D9BE9B">
      <w:pPr>
        <w:pStyle w:val="26"/>
        <w:spacing w:line="276" w:lineRule="auto"/>
        <w:ind w:firstLineChars="0"/>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2.2</w:t>
      </w:r>
      <w:r>
        <w:rPr>
          <w:rFonts w:ascii="Times New Roman"/>
          <w:szCs w:val="21"/>
        </w:rPr>
        <w:t>]</w:t>
      </w:r>
    </w:p>
    <w:p w14:paraId="1CDF6894">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温室气体排放量 greenhouse gas emission</w:t>
      </w:r>
      <w:r>
        <w:rPr>
          <w:rFonts w:ascii="Times New Roman" w:eastAsia="宋体"/>
          <w:b/>
          <w:bCs/>
        </w:rPr>
        <w:br w:type="textWrapping"/>
      </w:r>
      <w:r>
        <w:rPr>
          <w:rFonts w:ascii="Times New Roman" w:eastAsia="宋体"/>
          <w:b/>
          <w:bCs/>
        </w:rPr>
        <w:t>GHG emission</w:t>
      </w:r>
    </w:p>
    <w:p w14:paraId="7EDB1F2B">
      <w:pPr>
        <w:pStyle w:val="26"/>
        <w:spacing w:line="276" w:lineRule="auto"/>
        <w:rPr>
          <w:rFonts w:ascii="Times New Roman"/>
          <w:szCs w:val="21"/>
        </w:rPr>
      </w:pPr>
      <w:r>
        <w:rPr>
          <w:rFonts w:ascii="Times New Roman"/>
          <w:szCs w:val="21"/>
        </w:rPr>
        <w:t>在特定时段内释放到大气中的温室气体总量（以质量单位计算）。</w:t>
      </w:r>
    </w:p>
    <w:p w14:paraId="034E001D">
      <w:pPr>
        <w:pStyle w:val="26"/>
        <w:spacing w:line="276" w:lineRule="auto"/>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2.5</w:t>
      </w:r>
      <w:r>
        <w:rPr>
          <w:rFonts w:ascii="Times New Roman"/>
          <w:szCs w:val="21"/>
        </w:rPr>
        <w:t>]</w:t>
      </w:r>
    </w:p>
    <w:p w14:paraId="6AE631BD">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温室气体清除量 greenhouse gas removal</w:t>
      </w:r>
      <w:r>
        <w:rPr>
          <w:rFonts w:ascii="Times New Roman" w:eastAsia="宋体"/>
          <w:b/>
          <w:bCs/>
        </w:rPr>
        <w:br w:type="textWrapping"/>
      </w:r>
      <w:r>
        <w:rPr>
          <w:rFonts w:ascii="Times New Roman" w:eastAsia="宋体"/>
          <w:b/>
          <w:bCs/>
        </w:rPr>
        <w:t>GHG removal</w:t>
      </w:r>
    </w:p>
    <w:p w14:paraId="7A036170">
      <w:pPr>
        <w:pStyle w:val="26"/>
        <w:spacing w:line="276" w:lineRule="auto"/>
        <w:rPr>
          <w:rFonts w:ascii="Times New Roman"/>
          <w:szCs w:val="21"/>
        </w:rPr>
      </w:pPr>
      <w:r>
        <w:rPr>
          <w:rFonts w:ascii="Times New Roman"/>
          <w:szCs w:val="21"/>
        </w:rPr>
        <w:t>在特定时段内从大气中清除的温室气体总量（以质量单位计算）。</w:t>
      </w:r>
    </w:p>
    <w:p w14:paraId="480CD94C">
      <w:pPr>
        <w:pStyle w:val="26"/>
        <w:spacing w:line="276" w:lineRule="auto"/>
        <w:rPr>
          <w:rFonts w:ascii="Times New Roman"/>
          <w:szCs w:val="21"/>
        </w:rPr>
      </w:pPr>
      <w:r>
        <w:rPr>
          <w:rFonts w:ascii="Times New Roman"/>
          <w:szCs w:val="21"/>
        </w:rPr>
        <w:t>[来源：</w:t>
      </w:r>
      <w:r>
        <w:rPr>
          <w:rFonts w:ascii="Times New Roman"/>
          <w:color w:val="000000"/>
        </w:rPr>
        <w:t>GB/T XXXXX-XXX，3.2.6</w:t>
      </w:r>
      <w:r>
        <w:rPr>
          <w:rFonts w:ascii="Times New Roman"/>
          <w:szCs w:val="21"/>
        </w:rPr>
        <w:t>]</w:t>
      </w:r>
    </w:p>
    <w:p w14:paraId="4A1988FF">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温室气体排放因子 greenhouse gas emission factor</w:t>
      </w:r>
      <w:r>
        <w:rPr>
          <w:rFonts w:ascii="Times New Roman" w:eastAsia="宋体"/>
          <w:b/>
          <w:bCs/>
        </w:rPr>
        <w:br w:type="textWrapping"/>
      </w:r>
      <w:r>
        <w:rPr>
          <w:rFonts w:ascii="Times New Roman" w:eastAsia="宋体"/>
          <w:b/>
          <w:bCs/>
        </w:rPr>
        <w:t>GHG emission factor</w:t>
      </w:r>
    </w:p>
    <w:p w14:paraId="7978988B">
      <w:pPr>
        <w:pStyle w:val="26"/>
        <w:spacing w:line="276" w:lineRule="auto"/>
        <w:rPr>
          <w:rFonts w:ascii="Times New Roman"/>
        </w:rPr>
      </w:pPr>
      <w:r>
        <w:rPr>
          <w:rFonts w:ascii="Times New Roman"/>
        </w:rPr>
        <w:t>活动数据与温室气体排放相关的系数。</w:t>
      </w:r>
    </w:p>
    <w:p w14:paraId="0D850063">
      <w:pPr>
        <w:pStyle w:val="26"/>
        <w:spacing w:line="276" w:lineRule="auto"/>
        <w:rPr>
          <w:rFonts w:ascii="Times New Roman"/>
        </w:rPr>
      </w:pPr>
      <w:r>
        <w:rPr>
          <w:rFonts w:ascii="Times New Roman" w:eastAsia="黑体"/>
          <w:szCs w:val="21"/>
        </w:rPr>
        <w:t>注：</w:t>
      </w:r>
      <w:r>
        <w:rPr>
          <w:rFonts w:ascii="Times New Roman"/>
        </w:rPr>
        <w:t>本文件中的排放因子指的是生命周期的足迹因子。</w:t>
      </w:r>
    </w:p>
    <w:p w14:paraId="447F34C9">
      <w:pPr>
        <w:pStyle w:val="26"/>
        <w:spacing w:line="276" w:lineRule="auto"/>
        <w:rPr>
          <w:rFonts w:ascii="Times New Roman"/>
          <w:szCs w:val="21"/>
        </w:rPr>
      </w:pPr>
      <w:r>
        <w:rPr>
          <w:rFonts w:ascii="Times New Roman"/>
          <w:szCs w:val="21"/>
        </w:rPr>
        <w:t>[来源：</w:t>
      </w:r>
      <w:r>
        <w:rPr>
          <w:rFonts w:ascii="Times New Roman"/>
          <w:color w:val="000000"/>
        </w:rPr>
        <w:t>GB/T XXXXX-XXX，3.2.7</w:t>
      </w:r>
      <w:r>
        <w:rPr>
          <w:rFonts w:ascii="Times New Roman"/>
          <w:szCs w:val="21"/>
        </w:rPr>
        <w:t>]</w:t>
      </w:r>
    </w:p>
    <w:p w14:paraId="37991D19">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产品系统 product system</w:t>
      </w:r>
    </w:p>
    <w:p w14:paraId="29300A93">
      <w:pPr>
        <w:pStyle w:val="26"/>
        <w:spacing w:line="276" w:lineRule="auto"/>
        <w:rPr>
          <w:rFonts w:ascii="Times New Roman"/>
        </w:rPr>
      </w:pPr>
      <w:r>
        <w:rPr>
          <w:rFonts w:ascii="Times New Roman"/>
        </w:rPr>
        <w:t>拥有基本流和产品流，同时具有一种或多种特定功能，并能模拟产品生命周期的单元过程的集合。</w:t>
      </w:r>
    </w:p>
    <w:p w14:paraId="581F5DE0">
      <w:pPr>
        <w:pStyle w:val="26"/>
        <w:spacing w:line="276" w:lineRule="auto"/>
        <w:rPr>
          <w:rFonts w:ascii="Times New Roman"/>
        </w:rPr>
      </w:pPr>
      <w:r>
        <w:rPr>
          <w:rFonts w:ascii="Times New Roman"/>
        </w:rPr>
        <w:t>[来源：</w:t>
      </w:r>
      <w:r>
        <w:rPr>
          <w:rFonts w:ascii="Times New Roman"/>
          <w:color w:val="000000"/>
        </w:rPr>
        <w:t>GB/T XXXXX-XXX，</w:t>
      </w:r>
      <w:r>
        <w:rPr>
          <w:rFonts w:hint="eastAsia" w:ascii="Times New Roman"/>
          <w:color w:val="000000"/>
        </w:rPr>
        <w:t>3.3.2</w:t>
      </w:r>
      <w:r>
        <w:rPr>
          <w:rFonts w:ascii="Times New Roman"/>
        </w:rPr>
        <w:t>]</w:t>
      </w:r>
    </w:p>
    <w:p w14:paraId="528F0C60">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共生产品 co-product</w:t>
      </w:r>
    </w:p>
    <w:p w14:paraId="3BC089A9">
      <w:pPr>
        <w:pStyle w:val="26"/>
        <w:spacing w:line="276" w:lineRule="auto"/>
        <w:rPr>
          <w:rFonts w:ascii="Times New Roman"/>
          <w:szCs w:val="21"/>
        </w:rPr>
      </w:pPr>
      <w:r>
        <w:rPr>
          <w:rFonts w:ascii="Times New Roman"/>
          <w:szCs w:val="21"/>
        </w:rPr>
        <w:t>同一单元过程或产品系统中产出的两种或两种以上的产品。</w:t>
      </w:r>
    </w:p>
    <w:p w14:paraId="31DEEB25">
      <w:pPr>
        <w:pStyle w:val="26"/>
        <w:spacing w:line="276" w:lineRule="auto"/>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3.3</w:t>
      </w:r>
      <w:r>
        <w:rPr>
          <w:rFonts w:ascii="Times New Roman"/>
          <w:szCs w:val="21"/>
        </w:rPr>
        <w:t>]</w:t>
      </w:r>
    </w:p>
    <w:p w14:paraId="01320AEA">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 xml:space="preserve">系统边界 system boundary </w:t>
      </w:r>
    </w:p>
    <w:p w14:paraId="1D5E6F7F">
      <w:pPr>
        <w:pStyle w:val="26"/>
        <w:spacing w:line="276" w:lineRule="auto"/>
        <w:ind w:firstLineChars="0"/>
        <w:rPr>
          <w:rFonts w:ascii="Times New Roman"/>
          <w:szCs w:val="21"/>
        </w:rPr>
      </w:pPr>
      <w:r>
        <w:rPr>
          <w:rFonts w:ascii="Times New Roman"/>
          <w:szCs w:val="21"/>
        </w:rPr>
        <w:t>通过一组准则确定哪些单元过程属于产品系统的一部分。</w:t>
      </w:r>
    </w:p>
    <w:p w14:paraId="7C276690">
      <w:pPr>
        <w:pStyle w:val="26"/>
        <w:spacing w:line="276" w:lineRule="auto"/>
        <w:ind w:firstLineChars="0"/>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3.4</w:t>
      </w:r>
      <w:r>
        <w:rPr>
          <w:rFonts w:ascii="Times New Roman"/>
          <w:szCs w:val="21"/>
        </w:rPr>
        <w:t>]</w:t>
      </w:r>
    </w:p>
    <w:p w14:paraId="6EACE6E3">
      <w:pPr>
        <w:pStyle w:val="46"/>
        <w:numPr>
          <w:ilvl w:val="1"/>
          <w:numId w:val="10"/>
        </w:numPr>
        <w:spacing w:before="156" w:afterLines="0" w:line="276" w:lineRule="auto"/>
        <w:ind w:left="420" w:leftChars="200" w:firstLine="0"/>
        <w:outlineLvl w:val="1"/>
        <w:rPr>
          <w:rFonts w:ascii="Times New Roman" w:eastAsia="宋体"/>
          <w:b/>
          <w:bCs/>
        </w:rPr>
      </w:pPr>
      <w:bookmarkStart w:id="52" w:name="_GoBack"/>
      <w:bookmarkEnd w:id="52"/>
      <w:r>
        <w:rPr>
          <w:rFonts w:ascii="Times New Roman" w:eastAsia="宋体"/>
          <w:b/>
          <w:bCs/>
        </w:rPr>
        <w:br w:type="textWrapping"/>
      </w:r>
      <w:r>
        <w:rPr>
          <w:rFonts w:ascii="Times New Roman" w:eastAsia="宋体"/>
          <w:b/>
          <w:bCs/>
        </w:rPr>
        <w:t>声明单位 declared unit</w:t>
      </w:r>
    </w:p>
    <w:p w14:paraId="77AE45AD">
      <w:pPr>
        <w:pStyle w:val="26"/>
        <w:spacing w:line="276" w:lineRule="auto"/>
        <w:ind w:firstLineChars="0"/>
        <w:rPr>
          <w:rFonts w:ascii="Times New Roman"/>
          <w:szCs w:val="21"/>
        </w:rPr>
      </w:pPr>
      <w:r>
        <w:rPr>
          <w:rFonts w:ascii="Times New Roman"/>
          <w:szCs w:val="21"/>
        </w:rPr>
        <w:t>用来量化产品部分碳足迹的基准单位。</w:t>
      </w:r>
    </w:p>
    <w:p w14:paraId="60E1C411">
      <w:pPr>
        <w:pStyle w:val="26"/>
        <w:spacing w:line="276" w:lineRule="auto"/>
        <w:ind w:firstLineChars="0"/>
        <w:rPr>
          <w:rFonts w:ascii="Times New Roman"/>
          <w:szCs w:val="21"/>
        </w:rPr>
      </w:pPr>
      <w:r>
        <w:rPr>
          <w:rFonts w:ascii="Times New Roman"/>
          <w:szCs w:val="21"/>
        </w:rPr>
        <w:t>[来源：</w:t>
      </w:r>
      <w:r>
        <w:rPr>
          <w:rFonts w:ascii="Times New Roman"/>
          <w:color w:val="000000"/>
        </w:rPr>
        <w:t>GB/T XXXXX-XXX，3.</w:t>
      </w:r>
      <w:r>
        <w:rPr>
          <w:rFonts w:hint="eastAsia" w:ascii="Times New Roman"/>
          <w:color w:val="000000"/>
        </w:rPr>
        <w:t>3.8</w:t>
      </w:r>
      <w:r>
        <w:rPr>
          <w:rFonts w:ascii="Times New Roman"/>
          <w:szCs w:val="21"/>
        </w:rPr>
        <w:t>]</w:t>
      </w:r>
    </w:p>
    <w:p w14:paraId="6EB77D4D">
      <w:pPr>
        <w:pStyle w:val="46"/>
        <w:numPr>
          <w:ilvl w:val="1"/>
          <w:numId w:val="10"/>
        </w:numPr>
        <w:spacing w:before="156" w:afterLines="0" w:line="276" w:lineRule="auto"/>
        <w:ind w:left="420" w:leftChars="200" w:firstLine="0"/>
        <w:outlineLvl w:val="1"/>
        <w:rPr>
          <w:rFonts w:ascii="Times New Roman" w:eastAsia="宋体"/>
          <w:b/>
          <w:bCs/>
        </w:rPr>
      </w:pPr>
      <w:bookmarkStart w:id="9" w:name="_Toc1221"/>
      <w:bookmarkStart w:id="10" w:name="_Toc28543"/>
      <w:bookmarkStart w:id="11" w:name="_Toc17727"/>
      <w:r>
        <w:rPr>
          <w:rFonts w:ascii="Times New Roman" w:eastAsia="宋体"/>
          <w:b/>
          <w:bCs/>
        </w:rPr>
        <w:br w:type="textWrapping"/>
      </w:r>
      <w:r>
        <w:rPr>
          <w:rFonts w:ascii="Times New Roman" w:eastAsia="宋体"/>
          <w:b/>
          <w:bCs/>
        </w:rPr>
        <w:t>初级数据 primary data</w:t>
      </w:r>
    </w:p>
    <w:p w14:paraId="0252D615">
      <w:pPr>
        <w:pStyle w:val="26"/>
        <w:spacing w:line="276" w:lineRule="auto"/>
        <w:ind w:firstLineChars="0"/>
        <w:rPr>
          <w:rFonts w:ascii="Times New Roman"/>
          <w:szCs w:val="21"/>
        </w:rPr>
      </w:pPr>
      <w:r>
        <w:rPr>
          <w:rFonts w:ascii="Times New Roman"/>
          <w:szCs w:val="21"/>
        </w:rPr>
        <w:t>通过直接测量或基于直接测量的计算得到的过程或活动的量化值。</w:t>
      </w:r>
    </w:p>
    <w:p w14:paraId="4968A836">
      <w:pPr>
        <w:pStyle w:val="26"/>
        <w:spacing w:line="276" w:lineRule="auto"/>
        <w:ind w:firstLineChars="0"/>
        <w:rPr>
          <w:rFonts w:ascii="Times New Roman"/>
          <w:szCs w:val="21"/>
        </w:rPr>
      </w:pPr>
      <w:r>
        <w:rPr>
          <w:rFonts w:ascii="Times New Roman" w:eastAsia="黑体"/>
          <w:szCs w:val="21"/>
        </w:rPr>
        <w:t>注1：</w:t>
      </w:r>
      <w:r>
        <w:rPr>
          <w:rFonts w:ascii="Times New Roman"/>
          <w:szCs w:val="21"/>
        </w:rPr>
        <w:t>初级数据并非必须来自所研究的产品系统，因为初级数据可能涉及其他与所研究的产品系统具有可比性的产品系统。</w:t>
      </w:r>
    </w:p>
    <w:p w14:paraId="3E9E2135">
      <w:pPr>
        <w:pStyle w:val="26"/>
        <w:spacing w:line="276" w:lineRule="auto"/>
        <w:ind w:firstLineChars="0"/>
        <w:rPr>
          <w:rFonts w:ascii="Times New Roman"/>
          <w:szCs w:val="21"/>
        </w:rPr>
      </w:pPr>
      <w:r>
        <w:rPr>
          <w:rFonts w:ascii="Times New Roman" w:eastAsia="黑体"/>
          <w:szCs w:val="21"/>
        </w:rPr>
        <w:t>注2：</w:t>
      </w:r>
      <w:r>
        <w:rPr>
          <w:rFonts w:ascii="Times New Roman"/>
          <w:szCs w:val="21"/>
        </w:rPr>
        <w:t>初级数据可以包括温室气体排放因子或温室气体活动数据。</w:t>
      </w:r>
    </w:p>
    <w:p w14:paraId="403B3FAB">
      <w:pPr>
        <w:pStyle w:val="26"/>
        <w:spacing w:line="276" w:lineRule="auto"/>
        <w:ind w:firstLineChars="0"/>
        <w:rPr>
          <w:rFonts w:ascii="Times New Roman"/>
          <w:szCs w:val="21"/>
        </w:rPr>
      </w:pPr>
      <w:r>
        <w:rPr>
          <w:rFonts w:ascii="Times New Roman"/>
          <w:szCs w:val="21"/>
        </w:rPr>
        <w:t>[来源：</w:t>
      </w:r>
      <w:r>
        <w:rPr>
          <w:rFonts w:ascii="Times New Roman"/>
          <w:color w:val="000000"/>
        </w:rPr>
        <w:t>GB/T XXXXX-XXX</w:t>
      </w:r>
      <w:r>
        <w:rPr>
          <w:rFonts w:ascii="Times New Roman"/>
          <w:szCs w:val="21"/>
        </w:rPr>
        <w:t>，3.6.1]</w:t>
      </w:r>
    </w:p>
    <w:p w14:paraId="7C6DE617">
      <w:pPr>
        <w:pStyle w:val="46"/>
        <w:numPr>
          <w:ilvl w:val="1"/>
          <w:numId w:val="10"/>
        </w:numPr>
        <w:spacing w:before="156" w:afterLines="0" w:line="276" w:lineRule="auto"/>
        <w:ind w:left="420" w:leftChars="200" w:firstLine="0"/>
        <w:outlineLvl w:val="1"/>
        <w:rPr>
          <w:rFonts w:ascii="Times New Roman" w:eastAsia="宋体"/>
          <w:b/>
          <w:bCs/>
        </w:rPr>
      </w:pPr>
      <w:r>
        <w:rPr>
          <w:rFonts w:ascii="Times New Roman" w:eastAsia="宋体"/>
          <w:b/>
          <w:bCs/>
        </w:rPr>
        <w:br w:type="textWrapping"/>
      </w:r>
      <w:r>
        <w:rPr>
          <w:rFonts w:ascii="Times New Roman" w:eastAsia="宋体"/>
          <w:b/>
          <w:bCs/>
        </w:rPr>
        <w:t xml:space="preserve">现场数据site-specific data </w:t>
      </w:r>
    </w:p>
    <w:p w14:paraId="48ACC3EA">
      <w:pPr>
        <w:pStyle w:val="46"/>
        <w:numPr>
          <w:ilvl w:val="255"/>
          <w:numId w:val="0"/>
        </w:numPr>
        <w:spacing w:beforeLines="0" w:afterLines="0" w:line="276" w:lineRule="auto"/>
        <w:ind w:firstLine="420" w:firstLineChars="200"/>
        <w:outlineLvl w:val="9"/>
        <w:rPr>
          <w:rFonts w:ascii="Times New Roman" w:eastAsia="宋体"/>
        </w:rPr>
      </w:pPr>
      <w:r>
        <w:rPr>
          <w:rFonts w:ascii="Times New Roman" w:eastAsia="宋体"/>
        </w:rPr>
        <w:t>在产品系统内部获得的初级数据。</w:t>
      </w:r>
    </w:p>
    <w:p w14:paraId="76DD74A5">
      <w:pPr>
        <w:pStyle w:val="46"/>
        <w:numPr>
          <w:ilvl w:val="255"/>
          <w:numId w:val="0"/>
        </w:numPr>
        <w:spacing w:beforeLines="0" w:afterLines="0" w:line="276" w:lineRule="auto"/>
        <w:ind w:firstLine="420" w:firstLineChars="200"/>
        <w:outlineLvl w:val="9"/>
        <w:rPr>
          <w:rFonts w:ascii="Times New Roman" w:eastAsia="宋体"/>
        </w:rPr>
      </w:pPr>
      <w:r>
        <w:rPr>
          <w:rFonts w:ascii="Times New Roman"/>
        </w:rPr>
        <w:t>注1：</w:t>
      </w:r>
      <w:r>
        <w:rPr>
          <w:rFonts w:ascii="Times New Roman" w:eastAsia="宋体"/>
        </w:rPr>
        <w:t>所有现场数据均为初级数据，但并不是所有初级数据都是现场数据，因为数据可能是从不同产品系统内部获得。</w:t>
      </w:r>
    </w:p>
    <w:p w14:paraId="2606D628">
      <w:pPr>
        <w:pStyle w:val="46"/>
        <w:numPr>
          <w:ilvl w:val="255"/>
          <w:numId w:val="0"/>
        </w:numPr>
        <w:spacing w:beforeLines="0" w:afterLines="0" w:line="276" w:lineRule="auto"/>
        <w:ind w:firstLine="420" w:firstLineChars="200"/>
        <w:outlineLvl w:val="9"/>
        <w:rPr>
          <w:rFonts w:ascii="Times New Roman" w:eastAsia="宋体"/>
        </w:rPr>
      </w:pPr>
      <w:r>
        <w:rPr>
          <w:rFonts w:ascii="Times New Roman"/>
        </w:rPr>
        <w:t>注2：</w:t>
      </w:r>
      <w:r>
        <w:rPr>
          <w:rFonts w:ascii="Times New Roman" w:eastAsia="宋体"/>
        </w:rPr>
        <w:t>现场数据包括场地内一个特定单元过程的温室气体排放量（3.1.2.5）和温室气体清除量。</w:t>
      </w:r>
    </w:p>
    <w:p w14:paraId="3FE35C3A">
      <w:pPr>
        <w:pStyle w:val="26"/>
        <w:spacing w:line="276" w:lineRule="auto"/>
        <w:ind w:firstLineChars="0"/>
        <w:rPr>
          <w:rFonts w:ascii="Times New Roman"/>
          <w:szCs w:val="21"/>
        </w:rPr>
      </w:pPr>
      <w:r>
        <w:rPr>
          <w:rFonts w:ascii="Times New Roman"/>
          <w:szCs w:val="21"/>
        </w:rPr>
        <w:t>[来源：</w:t>
      </w:r>
      <w:r>
        <w:rPr>
          <w:rFonts w:ascii="Times New Roman"/>
          <w:color w:val="000000"/>
        </w:rPr>
        <w:t>GB/T XXXXX-XXX</w:t>
      </w:r>
      <w:r>
        <w:rPr>
          <w:rFonts w:ascii="Times New Roman"/>
          <w:szCs w:val="21"/>
        </w:rPr>
        <w:t>，3.6.2]</w:t>
      </w:r>
    </w:p>
    <w:bookmarkEnd w:id="9"/>
    <w:bookmarkEnd w:id="10"/>
    <w:bookmarkEnd w:id="11"/>
    <w:p w14:paraId="2A0DC442">
      <w:pPr>
        <w:pStyle w:val="46"/>
        <w:numPr>
          <w:ilvl w:val="1"/>
          <w:numId w:val="10"/>
        </w:numPr>
        <w:spacing w:before="156" w:afterLines="0" w:line="276" w:lineRule="auto"/>
        <w:ind w:left="420" w:leftChars="200" w:firstLine="0"/>
        <w:outlineLvl w:val="1"/>
        <w:rPr>
          <w:rFonts w:ascii="Times New Roman" w:eastAsia="宋体"/>
          <w:b/>
          <w:bCs/>
        </w:rPr>
      </w:pPr>
      <w:bookmarkStart w:id="12" w:name="_Toc20156"/>
      <w:bookmarkStart w:id="13" w:name="_Toc31525"/>
      <w:bookmarkStart w:id="14" w:name="_Toc29279"/>
      <w:r>
        <w:rPr>
          <w:rFonts w:ascii="Times New Roman" w:eastAsia="宋体"/>
          <w:b/>
          <w:bCs/>
        </w:rPr>
        <w:br w:type="textWrapping"/>
      </w:r>
      <w:r>
        <w:rPr>
          <w:rFonts w:ascii="Times New Roman" w:eastAsia="宋体"/>
          <w:b/>
          <w:bCs/>
        </w:rPr>
        <w:t>次级数据 secondary data</w:t>
      </w:r>
      <w:bookmarkEnd w:id="12"/>
      <w:bookmarkEnd w:id="13"/>
      <w:bookmarkEnd w:id="14"/>
    </w:p>
    <w:p w14:paraId="4CF4A020">
      <w:pPr>
        <w:pStyle w:val="46"/>
        <w:numPr>
          <w:ilvl w:val="255"/>
          <w:numId w:val="0"/>
        </w:numPr>
        <w:spacing w:beforeLines="0" w:afterLines="0" w:line="276" w:lineRule="auto"/>
        <w:ind w:firstLine="420" w:firstLineChars="200"/>
        <w:outlineLvl w:val="9"/>
        <w:rPr>
          <w:rFonts w:ascii="Times New Roman" w:eastAsia="宋体"/>
        </w:rPr>
      </w:pPr>
      <w:r>
        <w:rPr>
          <w:rFonts w:ascii="Times New Roman" w:eastAsia="宋体"/>
        </w:rPr>
        <w:t>不符合初级数据要求的数据。</w:t>
      </w:r>
    </w:p>
    <w:p w14:paraId="45376480">
      <w:pPr>
        <w:pStyle w:val="46"/>
        <w:numPr>
          <w:ilvl w:val="255"/>
          <w:numId w:val="0"/>
        </w:numPr>
        <w:spacing w:beforeLines="0" w:afterLines="0" w:line="276" w:lineRule="auto"/>
        <w:ind w:firstLine="420" w:firstLineChars="200"/>
        <w:outlineLvl w:val="9"/>
        <w:rPr>
          <w:rFonts w:ascii="Times New Roman" w:eastAsia="宋体"/>
        </w:rPr>
      </w:pPr>
      <w:r>
        <w:rPr>
          <w:rFonts w:ascii="Times New Roman"/>
        </w:rPr>
        <w:t>注1：</w:t>
      </w:r>
      <w:r>
        <w:rPr>
          <w:rFonts w:ascii="Times New Roman" w:eastAsia="宋体"/>
        </w:rPr>
        <w:t>次级数据是经权威机构验证且具有可信度的数据，可来源于数据库、公开文献、国家排放因子、计算估算数据或其他具有代表性的数据，推荐使用本土化数据库。</w:t>
      </w:r>
    </w:p>
    <w:p w14:paraId="3344D258">
      <w:pPr>
        <w:pStyle w:val="46"/>
        <w:numPr>
          <w:ilvl w:val="255"/>
          <w:numId w:val="0"/>
        </w:numPr>
        <w:spacing w:beforeLines="0" w:afterLines="0" w:line="276" w:lineRule="auto"/>
        <w:ind w:firstLine="420" w:firstLineChars="200"/>
        <w:outlineLvl w:val="9"/>
        <w:rPr>
          <w:rFonts w:ascii="Times New Roman" w:eastAsia="宋体"/>
        </w:rPr>
      </w:pPr>
      <w:r>
        <w:rPr>
          <w:rFonts w:ascii="Times New Roman"/>
        </w:rPr>
        <w:t>注2：</w:t>
      </w:r>
      <w:r>
        <w:rPr>
          <w:rFonts w:ascii="Times New Roman" w:eastAsia="宋体"/>
        </w:rPr>
        <w:t>次级数据可包括从代替过程或估计获得的数据。</w:t>
      </w:r>
    </w:p>
    <w:p w14:paraId="051EBF02">
      <w:pPr>
        <w:pStyle w:val="46"/>
        <w:numPr>
          <w:ilvl w:val="255"/>
          <w:numId w:val="0"/>
        </w:numPr>
        <w:spacing w:beforeLines="0" w:afterLines="0" w:line="276" w:lineRule="auto"/>
        <w:ind w:firstLine="420" w:firstLineChars="200"/>
        <w:outlineLvl w:val="9"/>
        <w:rPr>
          <w:rFonts w:ascii="Times New Roman" w:eastAsia="宋体"/>
        </w:rPr>
      </w:pPr>
      <w:r>
        <w:rPr>
          <w:rFonts w:ascii="Times New Roman" w:eastAsia="宋体"/>
        </w:rPr>
        <w:t>[来源：GB/T XXXXX-XXX，3.6.3]</w:t>
      </w:r>
    </w:p>
    <w:p w14:paraId="5EBC0777">
      <w:pPr>
        <w:pStyle w:val="49"/>
        <w:numPr>
          <w:ilvl w:val="0"/>
          <w:numId w:val="10"/>
        </w:numPr>
        <w:spacing w:before="156" w:beforeLines="50" w:afterLines="0" w:line="276" w:lineRule="auto"/>
        <w:outlineLvl w:val="0"/>
        <w:rPr>
          <w:rFonts w:ascii="Times New Roman" w:eastAsia="宋体"/>
          <w:b/>
          <w:bCs/>
        </w:rPr>
      </w:pPr>
      <w:bookmarkStart w:id="15" w:name="_Toc24846"/>
      <w:r>
        <w:rPr>
          <w:rFonts w:ascii="Times New Roman" w:eastAsia="宋体"/>
          <w:b/>
          <w:bCs/>
        </w:rPr>
        <w:t>量化目的</w:t>
      </w:r>
      <w:bookmarkEnd w:id="15"/>
    </w:p>
    <w:p w14:paraId="528B3D6D">
      <w:pPr>
        <w:spacing w:line="276" w:lineRule="auto"/>
        <w:ind w:firstLine="420" w:firstLineChars="200"/>
      </w:pPr>
      <w:r>
        <w:t>本文件</w:t>
      </w:r>
      <w:r>
        <w:rPr>
          <w:rFonts w:hint="eastAsia"/>
          <w:lang w:val="en-US" w:eastAsia="zh-CN"/>
        </w:rPr>
        <w:t>用于</w:t>
      </w:r>
      <w:r>
        <w:t>量化</w:t>
      </w:r>
      <w:r>
        <w:rPr>
          <w:rFonts w:hint="eastAsia"/>
          <w:lang w:val="en-US" w:eastAsia="zh-CN"/>
        </w:rPr>
        <w:t>水泥</w:t>
      </w:r>
      <w:r>
        <w:t>产品生命周期或选定</w:t>
      </w:r>
      <w:r>
        <w:rPr>
          <w:rFonts w:hint="eastAsia"/>
        </w:rPr>
        <w:t>阶段</w:t>
      </w:r>
      <w:r>
        <w:t>的温室气体排放量和清除量（以二氧化碳当量表示），基于本文件开展碳足迹量化的目的包括但不限于以下方面：</w:t>
      </w:r>
    </w:p>
    <w:p w14:paraId="7C0A89D1">
      <w:pPr>
        <w:numPr>
          <w:ilvl w:val="6"/>
          <w:numId w:val="11"/>
        </w:numPr>
        <w:tabs>
          <w:tab w:val="left" w:pos="840"/>
          <w:tab w:val="clear" w:pos="2940"/>
        </w:tabs>
        <w:spacing w:line="276" w:lineRule="auto"/>
        <w:ind w:hanging="2520"/>
      </w:pPr>
      <w:r>
        <w:t>评价产品对气候变化的潜在影响</w:t>
      </w:r>
      <w:r>
        <w:rPr>
          <w:rFonts w:hint="eastAsia"/>
        </w:rPr>
        <w:t>；</w:t>
      </w:r>
    </w:p>
    <w:p w14:paraId="4E822F75">
      <w:pPr>
        <w:numPr>
          <w:ilvl w:val="6"/>
          <w:numId w:val="11"/>
        </w:numPr>
        <w:tabs>
          <w:tab w:val="left" w:pos="840"/>
          <w:tab w:val="clear" w:pos="2940"/>
        </w:tabs>
        <w:spacing w:line="276" w:lineRule="auto"/>
        <w:ind w:hanging="2520"/>
      </w:pPr>
      <w:r>
        <w:t>用于生产者与上下游供应链或消费者之间的温室气体排放信息沟通；</w:t>
      </w:r>
    </w:p>
    <w:p w14:paraId="24AB7693">
      <w:pPr>
        <w:numPr>
          <w:ilvl w:val="6"/>
          <w:numId w:val="11"/>
        </w:numPr>
        <w:tabs>
          <w:tab w:val="left" w:pos="840"/>
          <w:tab w:val="clear" w:pos="2940"/>
        </w:tabs>
        <w:spacing w:line="276" w:lineRule="auto"/>
        <w:ind w:left="420" w:firstLine="0"/>
      </w:pPr>
      <w:r>
        <w:t>用于生产者降低产品碳足迹的设计与改进</w:t>
      </w:r>
      <w:r>
        <w:rPr>
          <w:rFonts w:hint="eastAsia"/>
          <w:lang w:val="en-US" w:eastAsia="zh-CN"/>
        </w:rPr>
        <w:t>以及同类产品间的对比，其中对比应满足可比性（10）的要求</w:t>
      </w:r>
      <w:r>
        <w:t>。</w:t>
      </w:r>
    </w:p>
    <w:p w14:paraId="74BCE93D">
      <w:pPr>
        <w:pStyle w:val="49"/>
        <w:numPr>
          <w:ilvl w:val="0"/>
          <w:numId w:val="10"/>
        </w:numPr>
        <w:spacing w:before="156" w:beforeLines="50" w:afterLines="0" w:line="276" w:lineRule="auto"/>
        <w:outlineLvl w:val="0"/>
        <w:rPr>
          <w:rFonts w:ascii="Times New Roman" w:eastAsia="宋体"/>
          <w:b/>
          <w:bCs/>
        </w:rPr>
      </w:pPr>
      <w:bookmarkStart w:id="16" w:name="_Toc6346"/>
      <w:r>
        <w:rPr>
          <w:rFonts w:ascii="Times New Roman" w:eastAsia="宋体"/>
          <w:b/>
          <w:bCs/>
        </w:rPr>
        <w:t>量化范围</w:t>
      </w:r>
      <w:bookmarkEnd w:id="16"/>
    </w:p>
    <w:p w14:paraId="1396DC6F">
      <w:pPr>
        <w:pStyle w:val="46"/>
        <w:numPr>
          <w:ilvl w:val="1"/>
          <w:numId w:val="10"/>
        </w:numPr>
        <w:spacing w:beforeLines="0" w:afterLines="0" w:line="276" w:lineRule="auto"/>
        <w:outlineLvl w:val="1"/>
        <w:rPr>
          <w:rFonts w:ascii="Times New Roman"/>
        </w:rPr>
      </w:pPr>
      <w:r>
        <w:rPr>
          <w:rFonts w:ascii="Times New Roman"/>
        </w:rPr>
        <w:t>产品描述</w:t>
      </w:r>
    </w:p>
    <w:p w14:paraId="6DD23651">
      <w:pPr>
        <w:pStyle w:val="26"/>
        <w:spacing w:line="276" w:lineRule="auto"/>
        <w:rPr>
          <w:rFonts w:ascii="Times New Roman"/>
        </w:rPr>
      </w:pPr>
      <w:r>
        <w:rPr>
          <w:rFonts w:ascii="Times New Roman"/>
        </w:rPr>
        <w:t>依据</w:t>
      </w:r>
      <w:r>
        <w:rPr>
          <w:rFonts w:hint="eastAsia" w:ascii="Times New Roman"/>
          <w:lang w:val="en-US" w:eastAsia="zh-CN"/>
        </w:rPr>
        <w:t>水泥</w:t>
      </w:r>
      <w:r>
        <w:rPr>
          <w:rFonts w:ascii="Times New Roman"/>
        </w:rPr>
        <w:t>对应的产品标准描述产品系统及其功能，</w:t>
      </w:r>
      <w:r>
        <w:rPr>
          <w:rFonts w:hint="eastAsia" w:ascii="Times New Roman"/>
        </w:rPr>
        <w:t>同时清晰描述产品名称、产品定义、产品执行标准、组分材料、强度等级、应用方向等信息。</w:t>
      </w:r>
      <w:r>
        <w:rPr>
          <w:rFonts w:hint="eastAsia" w:ascii="Times New Roman"/>
          <w:lang w:val="en-US" w:eastAsia="zh-CN"/>
        </w:rPr>
        <w:t>水泥</w:t>
      </w:r>
      <w:r>
        <w:rPr>
          <w:rFonts w:ascii="Times New Roman"/>
        </w:rPr>
        <w:t>对应的产品标准见</w:t>
      </w:r>
      <w:r>
        <w:rPr>
          <w:rFonts w:hint="eastAsia" w:ascii="Times New Roman"/>
        </w:rPr>
        <w:t>附录</w:t>
      </w:r>
      <w:r>
        <w:rPr>
          <w:rFonts w:ascii="Times New Roman"/>
        </w:rPr>
        <w:t>A。</w:t>
      </w:r>
    </w:p>
    <w:p w14:paraId="1DEAB9A5">
      <w:pPr>
        <w:pStyle w:val="46"/>
        <w:numPr>
          <w:ilvl w:val="1"/>
          <w:numId w:val="10"/>
        </w:numPr>
        <w:spacing w:beforeLines="0" w:afterLines="0" w:line="276" w:lineRule="auto"/>
        <w:outlineLvl w:val="1"/>
        <w:rPr>
          <w:rFonts w:ascii="Times New Roman"/>
        </w:rPr>
      </w:pPr>
      <w:r>
        <w:rPr>
          <w:rFonts w:ascii="Times New Roman"/>
        </w:rPr>
        <w:t>系统边界</w:t>
      </w:r>
    </w:p>
    <w:p w14:paraId="69A675A3">
      <w:pPr>
        <w:pStyle w:val="46"/>
        <w:numPr>
          <w:ilvl w:val="2"/>
          <w:numId w:val="10"/>
        </w:numPr>
        <w:spacing w:beforeLines="0" w:afterLines="0" w:line="276" w:lineRule="auto"/>
        <w:ind w:left="0" w:firstLine="0"/>
        <w:jc w:val="both"/>
        <w:outlineLvl w:val="9"/>
        <w:rPr>
          <w:rFonts w:ascii="Times New Roman" w:eastAsia="宋体"/>
        </w:rPr>
      </w:pPr>
      <w:r>
        <w:rPr>
          <w:rFonts w:hint="eastAsia" w:ascii="Times New Roman" w:eastAsia="宋体"/>
          <w:lang w:val="en-US" w:eastAsia="zh-CN"/>
        </w:rPr>
        <w:t>水泥</w:t>
      </w:r>
      <w:r>
        <w:rPr>
          <w:rFonts w:ascii="Times New Roman" w:eastAsia="宋体"/>
        </w:rPr>
        <w:t>产品碳足迹量化的系统边界</w:t>
      </w:r>
      <w:r>
        <w:rPr>
          <w:rFonts w:hint="eastAsia" w:ascii="Times New Roman" w:eastAsia="宋体"/>
          <w:lang w:val="en-US" w:eastAsia="zh-CN"/>
        </w:rPr>
        <w:t>包含生产阶段（A1-A3），见</w:t>
      </w:r>
      <w:r>
        <w:rPr>
          <w:rFonts w:ascii="Times New Roman" w:eastAsia="宋体"/>
        </w:rPr>
        <w:t>图1</w:t>
      </w:r>
      <w:r>
        <w:rPr>
          <w:rFonts w:hint="eastAsia" w:ascii="Times New Roman" w:eastAsia="宋体"/>
          <w:lang w:val="en-US" w:eastAsia="zh-CN"/>
        </w:rPr>
        <w:t>。</w:t>
      </w:r>
    </w:p>
    <w:p w14:paraId="16F02A5A">
      <w:pPr>
        <w:pStyle w:val="46"/>
        <w:numPr>
          <w:ilvl w:val="2"/>
          <w:numId w:val="10"/>
        </w:numPr>
        <w:spacing w:beforeLines="0" w:afterLines="0" w:line="276" w:lineRule="auto"/>
        <w:ind w:left="0" w:firstLine="0"/>
        <w:jc w:val="both"/>
        <w:outlineLvl w:val="9"/>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熟料产品生产涵盖A1-A3阶段的流程图见图2，水泥制备（粉磨站）涵盖A1-A3阶段的流程图见图3，全流程水泥产品生产涵盖A1-A3阶段的流程图见图4。</w:t>
      </w:r>
    </w:p>
    <w:tbl>
      <w:tblPr>
        <w:tblStyle w:val="3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7"/>
        <w:gridCol w:w="485"/>
        <w:gridCol w:w="485"/>
        <w:gridCol w:w="540"/>
        <w:gridCol w:w="556"/>
        <w:gridCol w:w="481"/>
        <w:gridCol w:w="473"/>
        <w:gridCol w:w="481"/>
        <w:gridCol w:w="512"/>
        <w:gridCol w:w="482"/>
        <w:gridCol w:w="619"/>
        <w:gridCol w:w="596"/>
        <w:gridCol w:w="532"/>
        <w:gridCol w:w="473"/>
        <w:gridCol w:w="502"/>
        <w:gridCol w:w="508"/>
        <w:gridCol w:w="1667"/>
      </w:tblGrid>
      <w:tr w14:paraId="1CC64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60" w:type="pct"/>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A9F3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建筑</w:t>
            </w:r>
            <w:r>
              <w:rPr>
                <w:rFonts w:hint="default" w:ascii="Times New Roman" w:hAnsi="Times New Roman" w:cs="Times New Roman"/>
                <w:i w:val="0"/>
                <w:iCs w:val="0"/>
                <w:color w:val="000000"/>
                <w:kern w:val="0"/>
                <w:sz w:val="22"/>
                <w:szCs w:val="22"/>
                <w:u w:val="none"/>
                <w:lang w:val="en-US" w:eastAsia="zh-CN" w:bidi="ar"/>
              </w:rPr>
              <w:t>产品</w:t>
            </w:r>
            <w:r>
              <w:rPr>
                <w:rFonts w:hint="default" w:ascii="Times New Roman" w:hAnsi="Times New Roman" w:eastAsia="宋体" w:cs="Times New Roman"/>
                <w:i w:val="0"/>
                <w:iCs w:val="0"/>
                <w:color w:val="000000"/>
                <w:kern w:val="0"/>
                <w:sz w:val="22"/>
                <w:szCs w:val="22"/>
                <w:u w:val="none"/>
                <w:lang w:val="en-US" w:eastAsia="zh-CN" w:bidi="ar"/>
              </w:rPr>
              <w:t>生命周期</w:t>
            </w:r>
            <w:r>
              <w:rPr>
                <w:rFonts w:hint="default" w:ascii="Times New Roman" w:hAnsi="Times New Roman" w:cs="Times New Roman"/>
                <w:i w:val="0"/>
                <w:iCs w:val="0"/>
                <w:color w:val="000000"/>
                <w:kern w:val="0"/>
                <w:sz w:val="22"/>
                <w:szCs w:val="22"/>
                <w:u w:val="none"/>
                <w:lang w:val="en-US" w:eastAsia="zh-CN" w:bidi="ar"/>
              </w:rPr>
              <w:t>阶段</w:t>
            </w:r>
            <w:r>
              <w:rPr>
                <w:rFonts w:hint="default" w:ascii="Times New Roman" w:hAnsi="Times New Roman" w:eastAsia="宋体" w:cs="Times New Roman"/>
                <w:i w:val="0"/>
                <w:iCs w:val="0"/>
                <w:color w:val="000000"/>
                <w:kern w:val="0"/>
                <w:sz w:val="22"/>
                <w:szCs w:val="22"/>
                <w:u w:val="none"/>
                <w:lang w:val="en-US" w:eastAsia="zh-CN" w:bidi="ar"/>
              </w:rPr>
              <w:t>及系统边界</w:t>
            </w:r>
          </w:p>
        </w:tc>
        <w:tc>
          <w:tcPr>
            <w:tcW w:w="83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783C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系统边界外的可选补充信息</w:t>
            </w:r>
          </w:p>
        </w:tc>
      </w:tr>
      <w:tr w14:paraId="49E0E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2" w:type="pct"/>
            <w:gridSpan w:val="3"/>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28C567A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A1-A3</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C6C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A4-A5</w:t>
            </w:r>
          </w:p>
        </w:tc>
        <w:tc>
          <w:tcPr>
            <w:tcW w:w="183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72C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B1-B7</w:t>
            </w:r>
          </w:p>
        </w:tc>
        <w:tc>
          <w:tcPr>
            <w:tcW w:w="10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A9F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C1-C4</w:t>
            </w:r>
          </w:p>
        </w:tc>
        <w:tc>
          <w:tcPr>
            <w:tcW w:w="83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DF38A">
            <w:pPr>
              <w:jc w:val="center"/>
              <w:rPr>
                <w:rFonts w:hint="default" w:ascii="Times New Roman" w:hAnsi="Times New Roman" w:eastAsia="宋体" w:cs="Times New Roman"/>
                <w:i w:val="0"/>
                <w:iCs w:val="0"/>
                <w:color w:val="000000"/>
                <w:sz w:val="22"/>
                <w:szCs w:val="22"/>
                <w:u w:val="none"/>
              </w:rPr>
            </w:pPr>
          </w:p>
        </w:tc>
      </w:tr>
      <w:tr w14:paraId="5230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2" w:type="pct"/>
            <w:gridSpan w:val="3"/>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0AC5703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生产阶段</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CEB2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施工阶段</w:t>
            </w:r>
          </w:p>
        </w:tc>
        <w:tc>
          <w:tcPr>
            <w:tcW w:w="183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EF1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使用阶段</w:t>
            </w:r>
          </w:p>
        </w:tc>
        <w:tc>
          <w:tcPr>
            <w:tcW w:w="100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58C5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生命末期</w:t>
            </w:r>
          </w:p>
        </w:tc>
        <w:tc>
          <w:tcPr>
            <w:tcW w:w="83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26E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p>
        </w:tc>
      </w:tr>
      <w:tr w14:paraId="64BBB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5"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400BDE7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7C483A2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6FEDF83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AA48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A4</w:t>
            </w: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332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A5</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D715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D2B8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D46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B3</w:t>
            </w:r>
          </w:p>
        </w:tc>
        <w:tc>
          <w:tcPr>
            <w:tcW w:w="2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0636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B4</w:t>
            </w:r>
          </w:p>
        </w:tc>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9DA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B5</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6F5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B6</w:t>
            </w:r>
          </w:p>
        </w:tc>
        <w:tc>
          <w:tcPr>
            <w:tcW w:w="2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1B5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B7</w:t>
            </w:r>
          </w:p>
        </w:tc>
        <w:tc>
          <w:tcPr>
            <w:tcW w:w="2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7AB6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1C6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7D7D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551C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p>
        </w:tc>
        <w:tc>
          <w:tcPr>
            <w:tcW w:w="83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5704">
            <w:pPr>
              <w:jc w:val="center"/>
              <w:rPr>
                <w:rFonts w:hint="default" w:ascii="Times New Roman" w:hAnsi="Times New Roman" w:eastAsia="宋体" w:cs="Times New Roman"/>
                <w:i w:val="0"/>
                <w:iCs w:val="0"/>
                <w:color w:val="000000"/>
                <w:sz w:val="22"/>
                <w:szCs w:val="22"/>
                <w:u w:val="none"/>
              </w:rPr>
            </w:pPr>
          </w:p>
        </w:tc>
      </w:tr>
      <w:tr w14:paraId="758B7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2" w:hRule="atLeast"/>
        </w:trPr>
        <w:tc>
          <w:tcPr>
            <w:tcW w:w="285" w:type="pct"/>
            <w:tcBorders>
              <w:top w:val="single" w:color="000000" w:sz="4" w:space="0"/>
              <w:left w:val="single" w:color="auto" w:sz="4" w:space="0"/>
              <w:bottom w:val="single" w:color="000000" w:sz="4" w:space="0"/>
              <w:right w:val="single" w:color="000000" w:sz="4" w:space="0"/>
            </w:tcBorders>
            <w:shd w:val="clear" w:color="auto" w:fill="EBF1DE" w:themeFill="accent3" w:themeFillTint="32"/>
            <w:vAlign w:val="center"/>
          </w:tcPr>
          <w:p w14:paraId="038BA91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原料</w:t>
            </w:r>
            <w:r>
              <w:rPr>
                <w:rFonts w:hint="default" w:ascii="Times New Roman" w:hAnsi="Times New Roman" w:cs="Times New Roman"/>
                <w:i w:val="0"/>
                <w:iCs w:val="0"/>
                <w:color w:val="000000"/>
                <w:kern w:val="0"/>
                <w:sz w:val="22"/>
                <w:szCs w:val="22"/>
                <w:u w:val="none"/>
                <w:lang w:val="en-US" w:eastAsia="zh-CN" w:bidi="ar"/>
              </w:rPr>
              <w:t>/能源</w:t>
            </w:r>
            <w:r>
              <w:rPr>
                <w:rFonts w:hint="default" w:ascii="Times New Roman" w:hAnsi="Times New Roman" w:eastAsia="宋体" w:cs="Times New Roman"/>
                <w:i w:val="0"/>
                <w:iCs w:val="0"/>
                <w:color w:val="000000"/>
                <w:kern w:val="0"/>
                <w:sz w:val="22"/>
                <w:szCs w:val="22"/>
                <w:u w:val="none"/>
                <w:lang w:val="en-US" w:eastAsia="zh-CN" w:bidi="ar"/>
              </w:rPr>
              <w:t>获取</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vAlign w:val="center"/>
          </w:tcPr>
          <w:p w14:paraId="03BA174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运输</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vAlign w:val="center"/>
          </w:tcPr>
          <w:p w14:paraId="4C1DB2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lang w:val="en-US" w:eastAsia="zh-CN"/>
              </w:rPr>
            </w:pPr>
            <w:r>
              <w:rPr>
                <w:rFonts w:hint="default" w:ascii="Times New Roman" w:hAnsi="Times New Roman" w:cs="Times New Roman"/>
                <w:b w:val="0"/>
                <w:bCs w:val="0"/>
                <w:i w:val="0"/>
                <w:iCs w:val="0"/>
                <w:color w:val="000000"/>
                <w:sz w:val="22"/>
                <w:szCs w:val="22"/>
                <w:u w:val="none"/>
                <w:lang w:val="en-US" w:eastAsia="zh-CN"/>
              </w:rPr>
              <w:t>熟料/水泥生产</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C674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建材产品</w:t>
            </w:r>
            <w:r>
              <w:rPr>
                <w:rFonts w:hint="default" w:ascii="Times New Roman" w:hAnsi="Times New Roman" w:eastAsia="宋体" w:cs="Times New Roman"/>
                <w:i w:val="0"/>
                <w:iCs w:val="0"/>
                <w:color w:val="000000"/>
                <w:kern w:val="0"/>
                <w:sz w:val="22"/>
                <w:szCs w:val="22"/>
                <w:u w:val="none"/>
                <w:lang w:val="en-US" w:eastAsia="zh-CN" w:bidi="ar"/>
              </w:rPr>
              <w:t>运输</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94D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安装过程</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90D7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建材产品</w:t>
            </w:r>
            <w:r>
              <w:rPr>
                <w:rFonts w:hint="default" w:ascii="Times New Roman" w:hAnsi="Times New Roman" w:eastAsia="宋体" w:cs="Times New Roman"/>
                <w:i w:val="0"/>
                <w:iCs w:val="0"/>
                <w:color w:val="000000"/>
                <w:kern w:val="0"/>
                <w:sz w:val="22"/>
                <w:szCs w:val="22"/>
                <w:u w:val="none"/>
                <w:lang w:val="en-US" w:eastAsia="zh-CN" w:bidi="ar"/>
              </w:rPr>
              <w:t>使用</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F827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维护</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155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维修</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A0C2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置换</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6318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翻新</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B893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cs="Times New Roman"/>
                <w:i w:val="0"/>
                <w:iCs w:val="0"/>
                <w:color w:val="000000"/>
                <w:kern w:val="0"/>
                <w:sz w:val="22"/>
                <w:szCs w:val="22"/>
                <w:u w:val="none"/>
                <w:lang w:val="en-US" w:eastAsia="zh-CN" w:bidi="ar"/>
              </w:rPr>
              <w:t>运行期间用能</w:t>
            </w:r>
          </w:p>
        </w:tc>
        <w:tc>
          <w:tcPr>
            <w:tcW w:w="2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903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cs="Times New Roman"/>
                <w:i w:val="0"/>
                <w:iCs w:val="0"/>
                <w:color w:val="000000"/>
                <w:kern w:val="0"/>
                <w:sz w:val="22"/>
                <w:szCs w:val="22"/>
                <w:u w:val="none"/>
                <w:lang w:val="en-US" w:eastAsia="zh-CN" w:bidi="ar"/>
              </w:rPr>
              <w:t>运行期间用水</w:t>
            </w:r>
          </w:p>
        </w:tc>
        <w:tc>
          <w:tcPr>
            <w:tcW w:w="2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06F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拆解/拆除</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940B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运输</w:t>
            </w:r>
          </w:p>
        </w:tc>
        <w:tc>
          <w:tcPr>
            <w:tcW w:w="2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AA39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废物处置</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0C7C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处理</w:t>
            </w:r>
          </w:p>
        </w:tc>
        <w:tc>
          <w:tcPr>
            <w:tcW w:w="8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914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系统边界外的</w:t>
            </w:r>
            <w:r>
              <w:rPr>
                <w:rFonts w:hint="default" w:ascii="Times New Roman" w:hAnsi="Times New Roman" w:cs="Times New Roman"/>
                <w:i w:val="0"/>
                <w:iCs w:val="0"/>
                <w:color w:val="000000"/>
                <w:kern w:val="0"/>
                <w:sz w:val="22"/>
                <w:szCs w:val="22"/>
                <w:u w:val="none"/>
                <w:lang w:val="en-US" w:eastAsia="zh-CN" w:bidi="ar"/>
              </w:rPr>
              <w:t>由</w:t>
            </w:r>
            <w:r>
              <w:rPr>
                <w:rFonts w:hint="default" w:ascii="Times New Roman" w:hAnsi="Times New Roman" w:eastAsia="宋体" w:cs="Times New Roman"/>
                <w:i w:val="0"/>
                <w:iCs w:val="0"/>
                <w:color w:val="000000"/>
                <w:kern w:val="0"/>
                <w:sz w:val="22"/>
                <w:szCs w:val="22"/>
                <w:u w:val="none"/>
                <w:lang w:val="en-US" w:eastAsia="zh-CN" w:bidi="ar"/>
              </w:rPr>
              <w:t>再利用</w:t>
            </w:r>
            <w:r>
              <w:rPr>
                <w:rFonts w:hint="default" w:ascii="Times New Roman" w:hAnsi="Times New Roman" w:cs="Times New Roman"/>
                <w:i w:val="0"/>
                <w:iCs w:val="0"/>
                <w:color w:val="000000"/>
                <w:kern w:val="0"/>
                <w:sz w:val="22"/>
                <w:szCs w:val="22"/>
                <w:u w:val="none"/>
                <w:lang w:val="en-US" w:eastAsia="zh-CN" w:bidi="ar"/>
              </w:rPr>
              <w:t>、再循环和</w:t>
            </w:r>
            <w:r>
              <w:rPr>
                <w:rFonts w:hint="default" w:ascii="Times New Roman" w:hAnsi="Times New Roman" w:eastAsia="宋体" w:cs="Times New Roman"/>
                <w:i w:val="0"/>
                <w:iCs w:val="0"/>
                <w:color w:val="000000"/>
                <w:kern w:val="0"/>
                <w:sz w:val="22"/>
                <w:szCs w:val="22"/>
                <w:u w:val="none"/>
                <w:lang w:val="en-US" w:eastAsia="zh-CN" w:bidi="ar"/>
              </w:rPr>
              <w:t>回收</w:t>
            </w:r>
            <w:r>
              <w:rPr>
                <w:rFonts w:hint="default" w:ascii="Times New Roman" w:hAnsi="Times New Roman" w:cs="Times New Roman"/>
                <w:i w:val="0"/>
                <w:iCs w:val="0"/>
                <w:color w:val="000000"/>
                <w:kern w:val="0"/>
                <w:sz w:val="22"/>
                <w:szCs w:val="22"/>
                <w:u w:val="none"/>
                <w:lang w:val="en-US" w:eastAsia="zh-CN" w:bidi="ar"/>
              </w:rPr>
              <w:t>相关的潜在效益</w:t>
            </w:r>
          </w:p>
        </w:tc>
      </w:tr>
      <w:tr w14:paraId="2B8EE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285" w:type="pct"/>
            <w:tcBorders>
              <w:top w:val="single" w:color="000000" w:sz="4" w:space="0"/>
              <w:left w:val="single" w:color="auto" w:sz="4" w:space="0"/>
              <w:bottom w:val="single" w:color="auto" w:sz="4" w:space="0"/>
              <w:right w:val="single" w:color="000000" w:sz="4" w:space="0"/>
            </w:tcBorders>
            <w:shd w:val="clear" w:color="auto" w:fill="EBF1DE" w:themeFill="accent3" w:themeFillTint="32"/>
            <w:vAlign w:val="center"/>
          </w:tcPr>
          <w:p w14:paraId="54227A3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3" w:type="pct"/>
            <w:tcBorders>
              <w:top w:val="single" w:color="000000" w:sz="4" w:space="0"/>
              <w:left w:val="single" w:color="000000" w:sz="4" w:space="0"/>
              <w:bottom w:val="single" w:color="auto" w:sz="4" w:space="0"/>
              <w:right w:val="single" w:color="000000" w:sz="4" w:space="0"/>
            </w:tcBorders>
            <w:shd w:val="clear" w:color="auto" w:fill="EBF1DE" w:themeFill="accent3" w:themeFillTint="32"/>
            <w:vAlign w:val="center"/>
          </w:tcPr>
          <w:p w14:paraId="593CA0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3" w:type="pct"/>
            <w:tcBorders>
              <w:top w:val="single" w:color="000000" w:sz="4" w:space="0"/>
              <w:left w:val="single" w:color="000000" w:sz="4" w:space="0"/>
              <w:bottom w:val="single" w:color="auto" w:sz="4" w:space="0"/>
              <w:right w:val="single" w:color="000000" w:sz="4" w:space="0"/>
            </w:tcBorders>
            <w:shd w:val="clear" w:color="auto" w:fill="EBF1DE" w:themeFill="accent3" w:themeFillTint="32"/>
            <w:vAlign w:val="center"/>
          </w:tcPr>
          <w:p w14:paraId="0F46BD1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271" w:type="pct"/>
            <w:tcBorders>
              <w:top w:val="single" w:color="000000" w:sz="4" w:space="0"/>
              <w:left w:val="single" w:color="000000" w:sz="4" w:space="0"/>
              <w:bottom w:val="single" w:color="auto" w:sz="4" w:space="0"/>
              <w:right w:val="single" w:color="000000" w:sz="4" w:space="0"/>
            </w:tcBorders>
            <w:shd w:val="clear" w:color="auto" w:fill="auto"/>
            <w:vAlign w:val="center"/>
          </w:tcPr>
          <w:p w14:paraId="3EA9C17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79" w:type="pct"/>
            <w:tcBorders>
              <w:top w:val="single" w:color="000000" w:sz="4" w:space="0"/>
              <w:left w:val="single" w:color="000000" w:sz="4" w:space="0"/>
              <w:bottom w:val="single" w:color="auto" w:sz="4" w:space="0"/>
              <w:right w:val="single" w:color="000000" w:sz="4" w:space="0"/>
            </w:tcBorders>
            <w:shd w:val="clear" w:color="auto" w:fill="auto"/>
            <w:vAlign w:val="center"/>
          </w:tcPr>
          <w:p w14:paraId="5883A18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2" w:type="pct"/>
            <w:tcBorders>
              <w:top w:val="single" w:color="000000" w:sz="4" w:space="0"/>
              <w:left w:val="single" w:color="000000" w:sz="4" w:space="0"/>
              <w:bottom w:val="single" w:color="auto" w:sz="4" w:space="0"/>
              <w:right w:val="single" w:color="000000" w:sz="4" w:space="0"/>
            </w:tcBorders>
            <w:shd w:val="clear" w:color="auto" w:fill="auto"/>
            <w:vAlign w:val="center"/>
          </w:tcPr>
          <w:p w14:paraId="5FF2B86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7" w:type="pct"/>
            <w:tcBorders>
              <w:top w:val="single" w:color="000000" w:sz="4" w:space="0"/>
              <w:left w:val="single" w:color="000000" w:sz="4" w:space="0"/>
              <w:bottom w:val="single" w:color="auto" w:sz="4" w:space="0"/>
              <w:right w:val="single" w:color="000000" w:sz="4" w:space="0"/>
            </w:tcBorders>
            <w:shd w:val="clear" w:color="auto" w:fill="auto"/>
            <w:vAlign w:val="center"/>
          </w:tcPr>
          <w:p w14:paraId="7A453CB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2" w:type="pct"/>
            <w:tcBorders>
              <w:top w:val="single" w:color="000000" w:sz="4" w:space="0"/>
              <w:left w:val="single" w:color="000000" w:sz="4" w:space="0"/>
              <w:bottom w:val="single" w:color="auto" w:sz="4" w:space="0"/>
              <w:right w:val="single" w:color="000000" w:sz="4" w:space="0"/>
            </w:tcBorders>
            <w:shd w:val="clear" w:color="auto" w:fill="auto"/>
            <w:vAlign w:val="center"/>
          </w:tcPr>
          <w:p w14:paraId="5C7EC64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57" w:type="pct"/>
            <w:tcBorders>
              <w:top w:val="single" w:color="000000" w:sz="4" w:space="0"/>
              <w:left w:val="single" w:color="000000" w:sz="4" w:space="0"/>
              <w:bottom w:val="single" w:color="auto" w:sz="4" w:space="0"/>
              <w:right w:val="single" w:color="000000" w:sz="4" w:space="0"/>
            </w:tcBorders>
            <w:shd w:val="clear" w:color="auto" w:fill="auto"/>
            <w:vAlign w:val="center"/>
          </w:tcPr>
          <w:p w14:paraId="7D9F7CA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2" w:type="pct"/>
            <w:tcBorders>
              <w:top w:val="single" w:color="000000" w:sz="4" w:space="0"/>
              <w:left w:val="single" w:color="000000" w:sz="4" w:space="0"/>
              <w:bottom w:val="single" w:color="auto" w:sz="4" w:space="0"/>
              <w:right w:val="single" w:color="000000" w:sz="4" w:space="0"/>
            </w:tcBorders>
            <w:shd w:val="clear" w:color="auto" w:fill="auto"/>
            <w:vAlign w:val="center"/>
          </w:tcPr>
          <w:p w14:paraId="77224EA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311" w:type="pct"/>
            <w:tcBorders>
              <w:top w:val="single" w:color="000000" w:sz="4" w:space="0"/>
              <w:left w:val="single" w:color="000000" w:sz="4" w:space="0"/>
              <w:bottom w:val="single" w:color="auto" w:sz="4" w:space="0"/>
              <w:right w:val="single" w:color="000000" w:sz="4" w:space="0"/>
            </w:tcBorders>
            <w:shd w:val="clear" w:color="auto" w:fill="auto"/>
            <w:vAlign w:val="center"/>
          </w:tcPr>
          <w:p w14:paraId="2CA855F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96" w:type="pct"/>
            <w:tcBorders>
              <w:top w:val="single" w:color="000000" w:sz="4" w:space="0"/>
              <w:left w:val="single" w:color="000000" w:sz="4" w:space="0"/>
              <w:bottom w:val="single" w:color="auto" w:sz="4" w:space="0"/>
              <w:right w:val="single" w:color="000000" w:sz="4" w:space="0"/>
            </w:tcBorders>
            <w:shd w:val="clear" w:color="auto" w:fill="auto"/>
            <w:vAlign w:val="center"/>
          </w:tcPr>
          <w:p w14:paraId="2AAD8C1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67" w:type="pct"/>
            <w:tcBorders>
              <w:top w:val="single" w:color="000000" w:sz="4" w:space="0"/>
              <w:left w:val="single" w:color="000000" w:sz="4" w:space="0"/>
              <w:bottom w:val="single" w:color="auto" w:sz="4" w:space="0"/>
              <w:right w:val="single" w:color="000000" w:sz="4" w:space="0"/>
            </w:tcBorders>
            <w:shd w:val="clear" w:color="auto" w:fill="auto"/>
            <w:vAlign w:val="center"/>
          </w:tcPr>
          <w:p w14:paraId="57DDB7B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7" w:type="pct"/>
            <w:tcBorders>
              <w:top w:val="single" w:color="000000" w:sz="4" w:space="0"/>
              <w:left w:val="single" w:color="000000" w:sz="4" w:space="0"/>
              <w:bottom w:val="single" w:color="auto" w:sz="4" w:space="0"/>
              <w:right w:val="single" w:color="000000" w:sz="4" w:space="0"/>
            </w:tcBorders>
            <w:shd w:val="clear" w:color="auto" w:fill="auto"/>
            <w:vAlign w:val="center"/>
          </w:tcPr>
          <w:p w14:paraId="2BC930A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52" w:type="pct"/>
            <w:tcBorders>
              <w:top w:val="single" w:color="000000" w:sz="4" w:space="0"/>
              <w:left w:val="single" w:color="000000" w:sz="4" w:space="0"/>
              <w:bottom w:val="single" w:color="auto" w:sz="4" w:space="0"/>
              <w:right w:val="single" w:color="000000" w:sz="4" w:space="0"/>
            </w:tcBorders>
            <w:shd w:val="clear" w:color="auto" w:fill="auto"/>
            <w:vAlign w:val="center"/>
          </w:tcPr>
          <w:p w14:paraId="50679C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9" w:type="pct"/>
            <w:tcBorders>
              <w:top w:val="single" w:color="000000" w:sz="4" w:space="0"/>
              <w:left w:val="single" w:color="000000" w:sz="4" w:space="0"/>
              <w:bottom w:val="single" w:color="auto" w:sz="4" w:space="0"/>
              <w:right w:val="single" w:color="000000" w:sz="4" w:space="0"/>
            </w:tcBorders>
            <w:shd w:val="clear" w:color="auto" w:fill="auto"/>
            <w:vAlign w:val="center"/>
          </w:tcPr>
          <w:p w14:paraId="129356B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839" w:type="pct"/>
            <w:tcBorders>
              <w:top w:val="single" w:color="000000" w:sz="4" w:space="0"/>
              <w:left w:val="single" w:color="000000" w:sz="4" w:space="0"/>
              <w:bottom w:val="single" w:color="auto" w:sz="4" w:space="0"/>
              <w:right w:val="single" w:color="000000" w:sz="4" w:space="0"/>
            </w:tcBorders>
            <w:shd w:val="clear" w:color="auto" w:fill="auto"/>
            <w:vAlign w:val="center"/>
          </w:tcPr>
          <w:p w14:paraId="6B9FA66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bl>
    <w:p w14:paraId="33CABC78">
      <w:pPr>
        <w:pStyle w:val="26"/>
        <w:spacing w:after="156" w:afterLines="50" w:line="276" w:lineRule="auto"/>
        <w:ind w:firstLine="0" w:firstLineChars="0"/>
        <w:jc w:val="center"/>
        <w:rPr>
          <w:rFonts w:ascii="Times New Roman"/>
        </w:rPr>
      </w:pPr>
      <w:r>
        <w:rPr>
          <w:rFonts w:ascii="Times New Roman"/>
        </w:rPr>
        <w:t xml:space="preserve">图1 </w:t>
      </w:r>
      <w:r>
        <w:rPr>
          <w:rFonts w:hint="eastAsia" w:ascii="Times New Roman"/>
          <w:lang w:val="en-US" w:eastAsia="zh-CN"/>
        </w:rPr>
        <w:t>水泥</w:t>
      </w:r>
      <w:r>
        <w:rPr>
          <w:rFonts w:ascii="Times New Roman"/>
        </w:rPr>
        <w:t>产品碳足迹评价的系统边界图</w:t>
      </w:r>
    </w:p>
    <w:p w14:paraId="3CEEF4AB">
      <w:pPr>
        <w:pStyle w:val="26"/>
        <w:spacing w:after="156" w:afterLines="50" w:line="276" w:lineRule="auto"/>
        <w:ind w:firstLine="0" w:firstLineChars="0"/>
        <w:jc w:val="center"/>
        <w:rPr>
          <w:rFonts w:hint="eastAsia" w:ascii="Times New Roman" w:eastAsia="宋体"/>
          <w:lang w:eastAsia="zh-CN"/>
        </w:rPr>
      </w:pPr>
      <w:r>
        <w:rPr>
          <w:rFonts w:hint="eastAsia" w:ascii="Times New Roman" w:eastAsia="宋体"/>
          <w:lang w:eastAsia="zh-CN"/>
        </w:rPr>
        <w:drawing>
          <wp:inline distT="0" distB="0" distL="114300" distR="114300">
            <wp:extent cx="2553970" cy="2750185"/>
            <wp:effectExtent l="0" t="0" r="17780" b="12065"/>
            <wp:docPr id="16" name="图片 16" descr="4e301903cf2b08828edcf61fbbd1f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4e301903cf2b08828edcf61fbbd1ff4"/>
                    <pic:cNvPicPr>
                      <a:picLocks noChangeAspect="1"/>
                    </pic:cNvPicPr>
                  </pic:nvPicPr>
                  <pic:blipFill>
                    <a:blip r:embed="rId18"/>
                    <a:stretch>
                      <a:fillRect/>
                    </a:stretch>
                  </pic:blipFill>
                  <pic:spPr>
                    <a:xfrm>
                      <a:off x="0" y="0"/>
                      <a:ext cx="2553970" cy="2750185"/>
                    </a:xfrm>
                    <a:prstGeom prst="rect">
                      <a:avLst/>
                    </a:prstGeom>
                  </pic:spPr>
                </pic:pic>
              </a:graphicData>
            </a:graphic>
          </wp:inline>
        </w:drawing>
      </w:r>
    </w:p>
    <w:p w14:paraId="723E86D2">
      <w:pPr>
        <w:pStyle w:val="26"/>
        <w:spacing w:after="156" w:afterLines="50" w:line="276" w:lineRule="auto"/>
        <w:ind w:firstLine="0" w:firstLineChars="0"/>
        <w:jc w:val="center"/>
        <w:rPr>
          <w:rFonts w:hint="eastAsia" w:ascii="Times New Roman"/>
          <w:lang w:val="en-US" w:eastAsia="zh-CN"/>
        </w:rPr>
      </w:pPr>
      <w:r>
        <w:rPr>
          <w:rFonts w:hint="eastAsia" w:ascii="Times New Roman"/>
          <w:lang w:val="en-US" w:eastAsia="zh-CN"/>
        </w:rPr>
        <w:t>图2 熟料产品系统边界流程图</w:t>
      </w:r>
    </w:p>
    <w:p w14:paraId="5DA93848">
      <w:pPr>
        <w:pStyle w:val="26"/>
        <w:spacing w:after="156" w:afterLines="50" w:line="276" w:lineRule="auto"/>
        <w:ind w:firstLine="0" w:firstLineChars="0"/>
        <w:jc w:val="center"/>
        <w:rPr>
          <w:rFonts w:hint="eastAsia" w:ascii="Times New Roman"/>
          <w:lang w:val="en-US" w:eastAsia="zh-CN"/>
        </w:rPr>
      </w:pPr>
      <w:r>
        <w:rPr>
          <w:rFonts w:hint="eastAsia" w:ascii="Times New Roman"/>
          <w:lang w:val="en-US" w:eastAsia="zh-CN"/>
        </w:rPr>
        <w:drawing>
          <wp:inline distT="0" distB="0" distL="114300" distR="114300">
            <wp:extent cx="2498725" cy="2417445"/>
            <wp:effectExtent l="0" t="0" r="15875" b="1905"/>
            <wp:docPr id="18" name="图片 18" descr="3aa83db75657c0580785e9109d192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3aa83db75657c0580785e9109d1928e"/>
                    <pic:cNvPicPr>
                      <a:picLocks noChangeAspect="1"/>
                    </pic:cNvPicPr>
                  </pic:nvPicPr>
                  <pic:blipFill>
                    <a:blip r:embed="rId19"/>
                    <a:stretch>
                      <a:fillRect/>
                    </a:stretch>
                  </pic:blipFill>
                  <pic:spPr>
                    <a:xfrm>
                      <a:off x="0" y="0"/>
                      <a:ext cx="2498725" cy="2417445"/>
                    </a:xfrm>
                    <a:prstGeom prst="rect">
                      <a:avLst/>
                    </a:prstGeom>
                  </pic:spPr>
                </pic:pic>
              </a:graphicData>
            </a:graphic>
          </wp:inline>
        </w:drawing>
      </w:r>
    </w:p>
    <w:p w14:paraId="1DF4E52C">
      <w:pPr>
        <w:pStyle w:val="26"/>
        <w:spacing w:after="156" w:afterLines="50" w:line="276" w:lineRule="auto"/>
        <w:ind w:firstLine="0" w:firstLineChars="0"/>
        <w:jc w:val="center"/>
        <w:rPr>
          <w:rFonts w:hint="eastAsia" w:ascii="Times New Roman"/>
          <w:lang w:val="en-US" w:eastAsia="zh-CN"/>
        </w:rPr>
      </w:pPr>
      <w:r>
        <w:rPr>
          <w:rFonts w:hint="eastAsia" w:ascii="Times New Roman"/>
          <w:lang w:val="en-US" w:eastAsia="zh-CN"/>
        </w:rPr>
        <w:t xml:space="preserve">图3 </w:t>
      </w:r>
      <w:r>
        <w:rPr>
          <w:rFonts w:hint="default" w:ascii="Times New Roman" w:hAnsi="Times New Roman" w:cs="Times New Roman"/>
          <w:lang w:val="en-US" w:eastAsia="zh-CN"/>
        </w:rPr>
        <w:t>粉磨站生产水泥</w:t>
      </w:r>
      <w:r>
        <w:rPr>
          <w:rFonts w:hint="default" w:ascii="Times New Roman" w:hAnsi="Times New Roman" w:cs="Times New Roman"/>
          <w:highlight w:val="none"/>
          <w:lang w:val="en-US" w:eastAsia="zh-CN"/>
        </w:rPr>
        <w:t>系统边界流程图</w:t>
      </w:r>
    </w:p>
    <w:p w14:paraId="77302AA8">
      <w:pPr>
        <w:pStyle w:val="26"/>
        <w:spacing w:after="156" w:afterLines="50" w:line="276" w:lineRule="auto"/>
        <w:ind w:firstLine="0" w:firstLineChars="0"/>
        <w:jc w:val="center"/>
        <w:rPr>
          <w:rFonts w:hint="eastAsia" w:ascii="Times New Roman"/>
          <w:lang w:val="en-US" w:eastAsia="zh-CN"/>
        </w:rPr>
      </w:pPr>
    </w:p>
    <w:p w14:paraId="140EBDE4">
      <w:pPr>
        <w:pStyle w:val="26"/>
        <w:spacing w:after="156" w:afterLines="50" w:line="276" w:lineRule="auto"/>
        <w:ind w:firstLine="0" w:firstLineChars="0"/>
        <w:jc w:val="center"/>
        <w:rPr>
          <w:rFonts w:hint="default" w:ascii="Times New Roman"/>
          <w:lang w:val="en-US" w:eastAsia="zh-CN"/>
        </w:rPr>
      </w:pPr>
      <w:r>
        <w:rPr>
          <w:rFonts w:hint="default" w:ascii="Times New Roman"/>
          <w:lang w:val="en-US" w:eastAsia="zh-CN"/>
        </w:rPr>
        <w:drawing>
          <wp:inline distT="0" distB="0" distL="114300" distR="114300">
            <wp:extent cx="3100070" cy="3877945"/>
            <wp:effectExtent l="0" t="0" r="5080" b="8255"/>
            <wp:docPr id="17" name="图片 17" descr="88f474c27f7901f2baa624e1a196c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88f474c27f7901f2baa624e1a196cbd"/>
                    <pic:cNvPicPr>
                      <a:picLocks noChangeAspect="1"/>
                    </pic:cNvPicPr>
                  </pic:nvPicPr>
                  <pic:blipFill>
                    <a:blip r:embed="rId20"/>
                    <a:stretch>
                      <a:fillRect/>
                    </a:stretch>
                  </pic:blipFill>
                  <pic:spPr>
                    <a:xfrm>
                      <a:off x="0" y="0"/>
                      <a:ext cx="3100070" cy="3877945"/>
                    </a:xfrm>
                    <a:prstGeom prst="rect">
                      <a:avLst/>
                    </a:prstGeom>
                  </pic:spPr>
                </pic:pic>
              </a:graphicData>
            </a:graphic>
          </wp:inline>
        </w:drawing>
      </w:r>
    </w:p>
    <w:p w14:paraId="0EEAEE7C">
      <w:pPr>
        <w:pStyle w:val="26"/>
        <w:spacing w:after="156" w:afterLines="50" w:line="276" w:lineRule="auto"/>
        <w:ind w:firstLine="0" w:firstLineChars="0"/>
        <w:jc w:val="center"/>
        <w:rPr>
          <w:rFonts w:hint="eastAsia" w:ascii="Times New Roman"/>
          <w:lang w:val="en-US" w:eastAsia="zh-CN"/>
        </w:rPr>
      </w:pPr>
      <w:r>
        <w:rPr>
          <w:rFonts w:hint="eastAsia" w:ascii="Times New Roman"/>
          <w:lang w:val="en-US" w:eastAsia="zh-CN"/>
        </w:rPr>
        <w:t xml:space="preserve">图4 </w:t>
      </w:r>
      <w:r>
        <w:rPr>
          <w:rFonts w:hint="default" w:ascii="Times New Roman" w:hAnsi="Times New Roman" w:cs="Times New Roman"/>
          <w:highlight w:val="none"/>
          <w:lang w:val="en-US" w:eastAsia="zh-CN"/>
        </w:rPr>
        <w:t>水泥产品系统边界流程图</w:t>
      </w:r>
    </w:p>
    <w:p w14:paraId="72DE9461">
      <w:pPr>
        <w:pStyle w:val="26"/>
        <w:numPr>
          <w:ilvl w:val="-1"/>
          <w:numId w:val="0"/>
        </w:numPr>
        <w:spacing w:line="272" w:lineRule="auto"/>
        <w:ind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（1）生产阶段（A1~A3），具体如下：</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1361"/>
        <w:gridCol w:w="7713"/>
      </w:tblGrid>
      <w:tr w14:paraId="5E5E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tcPr>
          <w:p w14:paraId="57CDCED8">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default" w:ascii="Times New Roman" w:hAnsi="Times New Roman" w:cs="Times New Roman"/>
                <w:szCs w:val="21"/>
                <w:highlight w:val="none"/>
              </w:rPr>
              <w:t>原料</w:t>
            </w:r>
            <w:r>
              <w:rPr>
                <w:rFonts w:hint="default" w:ascii="Times New Roman" w:hAnsi="Times New Roman" w:cs="Times New Roman"/>
                <w:szCs w:val="21"/>
                <w:highlight w:val="none"/>
                <w:lang w:val="en-US" w:eastAsia="zh-CN"/>
              </w:rPr>
              <w:t>/能源</w:t>
            </w:r>
            <w:r>
              <w:rPr>
                <w:rFonts w:hint="default" w:ascii="Times New Roman" w:hAnsi="Times New Roman" w:cs="Times New Roman"/>
                <w:szCs w:val="21"/>
                <w:highlight w:val="none"/>
              </w:rPr>
              <w:t>获取过程（A1）</w:t>
            </w:r>
          </w:p>
        </w:tc>
        <w:tc>
          <w:tcPr>
            <w:tcW w:w="3892" w:type="pct"/>
          </w:tcPr>
          <w:p w14:paraId="46198C47">
            <w:pPr>
              <w:pStyle w:val="151"/>
              <w:numPr>
                <w:ilvl w:val="0"/>
                <w:numId w:val="0"/>
              </w:numPr>
              <w:spacing w:line="272" w:lineRule="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1）</w:t>
            </w:r>
            <w:r>
              <w:rPr>
                <w:rFonts w:hint="default" w:ascii="Times New Roman" w:hAnsi="Times New Roman" w:cs="Times New Roman"/>
                <w:szCs w:val="21"/>
                <w:highlight w:val="none"/>
                <w:lang w:val="en-US" w:eastAsia="zh-CN"/>
              </w:rPr>
              <w:t>主要</w:t>
            </w:r>
            <w:r>
              <w:rPr>
                <w:rFonts w:hint="default" w:ascii="Times New Roman" w:hAnsi="Times New Roman" w:cs="Times New Roman"/>
                <w:szCs w:val="21"/>
                <w:highlight w:val="none"/>
              </w:rPr>
              <w:t>原料</w:t>
            </w:r>
            <w:r>
              <w:rPr>
                <w:rFonts w:hint="default" w:ascii="Times New Roman" w:hAnsi="Times New Roman" w:cs="Times New Roman"/>
                <w:szCs w:val="21"/>
                <w:highlight w:val="none"/>
                <w:lang w:val="en-US" w:eastAsia="zh-CN"/>
              </w:rPr>
              <w:t>获取过程：如石灰石矿山开采过程的能源、资源、耗材投入和废弃处理等相关过程</w:t>
            </w:r>
            <w:r>
              <w:rPr>
                <w:rFonts w:hint="eastAsia" w:ascii="Times New Roman" w:hAnsi="Times New Roman" w:cs="Times New Roman"/>
                <w:szCs w:val="21"/>
                <w:highlight w:val="none"/>
                <w:lang w:val="en-US" w:eastAsia="zh-CN"/>
              </w:rPr>
              <w:t>；</w:t>
            </w:r>
          </w:p>
          <w:p w14:paraId="10D12940">
            <w:pPr>
              <w:pStyle w:val="151"/>
              <w:numPr>
                <w:ilvl w:val="0"/>
                <w:numId w:val="0"/>
              </w:numPr>
              <w:spacing w:line="272" w:lineRule="auto"/>
              <w:rPr>
                <w:rFonts w:hint="eastAsia" w:ascii="Times New Roman" w:hAnsi="Times New Roman" w:cs="Times New Roman" w:eastAsiaTheme="minorEastAsia"/>
                <w:szCs w:val="21"/>
                <w:highlight w:val="none"/>
                <w:lang w:eastAsia="zh-CN"/>
              </w:rPr>
            </w:pPr>
            <w:r>
              <w:rPr>
                <w:rFonts w:hint="eastAsia" w:ascii="Times New Roman" w:hAnsi="Times New Roman" w:cs="Times New Roman"/>
                <w:szCs w:val="21"/>
                <w:highlight w:val="none"/>
                <w:lang w:val="en-US" w:eastAsia="zh-CN"/>
              </w:rPr>
              <w:t>2）</w:t>
            </w:r>
            <w:r>
              <w:rPr>
                <w:rFonts w:hint="default" w:ascii="Times New Roman" w:hAnsi="Times New Roman" w:cs="Times New Roman"/>
                <w:szCs w:val="21"/>
                <w:highlight w:val="none"/>
              </w:rPr>
              <w:t>次要原料</w:t>
            </w:r>
            <w:r>
              <w:rPr>
                <w:rFonts w:hint="default" w:ascii="Times New Roman" w:hAnsi="Times New Roman" w:cs="Times New Roman"/>
                <w:szCs w:val="21"/>
                <w:highlight w:val="none"/>
                <w:lang w:val="en-US" w:eastAsia="zh-CN"/>
              </w:rPr>
              <w:t>获取过程：如粘土</w:t>
            </w:r>
            <w:r>
              <w:rPr>
                <w:rFonts w:hint="default" w:ascii="Times New Roman" w:hAnsi="Times New Roman" w:cs="Times New Roman"/>
                <w:szCs w:val="21"/>
                <w:highlight w:val="none"/>
              </w:rPr>
              <w:t>的</w:t>
            </w:r>
            <w:r>
              <w:rPr>
                <w:rFonts w:hint="default" w:ascii="Times New Roman" w:hAnsi="Times New Roman" w:cs="Times New Roman"/>
                <w:szCs w:val="21"/>
                <w:highlight w:val="none"/>
                <w:lang w:val="en-US" w:eastAsia="zh-CN"/>
              </w:rPr>
              <w:t>开采</w:t>
            </w:r>
            <w:r>
              <w:rPr>
                <w:rFonts w:hint="default" w:ascii="Times New Roman" w:hAnsi="Times New Roman" w:cs="Times New Roman"/>
                <w:szCs w:val="21"/>
                <w:highlight w:val="none"/>
              </w:rPr>
              <w:t>与加工等过程</w:t>
            </w:r>
            <w:r>
              <w:rPr>
                <w:rFonts w:hint="eastAsia" w:ascii="Times New Roman" w:hAnsi="Times New Roman" w:cs="Times New Roman"/>
                <w:szCs w:val="21"/>
                <w:highlight w:val="none"/>
                <w:lang w:eastAsia="zh-CN"/>
              </w:rPr>
              <w:t>；</w:t>
            </w:r>
          </w:p>
          <w:p w14:paraId="1862E468">
            <w:pPr>
              <w:pStyle w:val="151"/>
              <w:numPr>
                <w:ilvl w:val="0"/>
                <w:numId w:val="0"/>
              </w:numPr>
              <w:spacing w:line="272" w:lineRule="auto"/>
              <w:rPr>
                <w:rFonts w:hint="default" w:ascii="Times New Roman" w:hAnsi="Times New Roman" w:cs="Times New Roman"/>
                <w:szCs w:val="21"/>
                <w:highlight w:val="none"/>
                <w:lang w:val="en-US" w:eastAsia="zh-CN"/>
              </w:rPr>
            </w:pPr>
            <w:r>
              <w:rPr>
                <w:rFonts w:hint="eastAsia" w:ascii="Times New Roman" w:hAnsi="Times New Roman" w:cs="Times New Roman"/>
                <w:szCs w:val="21"/>
                <w:highlight w:val="none"/>
                <w:lang w:val="en-US" w:eastAsia="zh-CN"/>
              </w:rPr>
              <w:t>3）</w:t>
            </w:r>
            <w:r>
              <w:rPr>
                <w:rFonts w:hint="default" w:ascii="Times New Roman" w:hAnsi="Times New Roman" w:cs="Times New Roman"/>
                <w:szCs w:val="21"/>
                <w:highlight w:val="none"/>
                <w:lang w:val="en-US" w:eastAsia="zh-CN"/>
              </w:rPr>
              <w:t>包装材料的生产</w:t>
            </w:r>
            <w:r>
              <w:rPr>
                <w:rFonts w:hint="default" w:ascii="Times New Roman" w:hAnsi="Times New Roman" w:cs="Times New Roman"/>
                <w:szCs w:val="21"/>
                <w:highlight w:val="none"/>
              </w:rPr>
              <w:t>过程</w:t>
            </w:r>
            <w:r>
              <w:rPr>
                <w:rFonts w:hint="eastAsia" w:ascii="Times New Roman" w:hAnsi="Times New Roman" w:cs="Times New Roman"/>
                <w:szCs w:val="21"/>
                <w:highlight w:val="none"/>
                <w:lang w:eastAsia="zh-CN"/>
              </w:rPr>
              <w:t>；</w:t>
            </w:r>
          </w:p>
          <w:p w14:paraId="4AF20ADD">
            <w:pPr>
              <w:pStyle w:val="151"/>
              <w:numPr>
                <w:ilvl w:val="0"/>
                <w:numId w:val="0"/>
              </w:numPr>
              <w:spacing w:line="272" w:lineRule="auto"/>
              <w:rPr>
                <w:rFonts w:hint="eastAsia" w:ascii="Times New Roman" w:hAnsi="Times New Roman" w:cs="Times New Roman" w:eastAsiaTheme="minorEastAsia"/>
                <w:highlight w:val="none"/>
                <w:vertAlign w:val="baseline"/>
                <w:lang w:val="en-US" w:eastAsia="zh-CN"/>
              </w:rPr>
            </w:pPr>
            <w:r>
              <w:rPr>
                <w:rFonts w:hint="eastAsia" w:ascii="Times New Roman" w:hAnsi="Times New Roman" w:cs="Times New Roman"/>
                <w:szCs w:val="21"/>
                <w:highlight w:val="none"/>
                <w:lang w:val="en-US" w:eastAsia="zh-CN"/>
              </w:rPr>
              <w:t>4）</w:t>
            </w:r>
            <w:r>
              <w:rPr>
                <w:rFonts w:hint="default" w:ascii="Times New Roman" w:hAnsi="Times New Roman" w:cs="Times New Roman"/>
                <w:szCs w:val="21"/>
                <w:highlight w:val="none"/>
                <w:lang w:val="en-US" w:eastAsia="zh-CN"/>
              </w:rPr>
              <w:t>煤、电、柴油</w:t>
            </w:r>
            <w:r>
              <w:rPr>
                <w:rFonts w:hint="default" w:ascii="Times New Roman" w:hAnsi="Times New Roman" w:cs="Times New Roman"/>
                <w:szCs w:val="21"/>
                <w:highlight w:val="none"/>
              </w:rPr>
              <w:t>等能源产品的提取、精炼过程</w:t>
            </w:r>
            <w:r>
              <w:rPr>
                <w:rFonts w:hint="eastAsia" w:ascii="Times New Roman" w:hAnsi="Times New Roman" w:cs="Times New Roman"/>
                <w:szCs w:val="21"/>
                <w:highlight w:val="none"/>
                <w:lang w:eastAsia="zh-CN"/>
              </w:rPr>
              <w:t>；</w:t>
            </w:r>
          </w:p>
        </w:tc>
      </w:tr>
      <w:tr w14:paraId="7743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7" w:type="pct"/>
            <w:gridSpan w:val="2"/>
          </w:tcPr>
          <w:p w14:paraId="7C3725E5">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default" w:ascii="Times New Roman" w:hAnsi="Times New Roman" w:cs="Times New Roman"/>
                <w:szCs w:val="21"/>
                <w:highlight w:val="none"/>
                <w:lang w:val="en-US" w:eastAsia="zh-CN"/>
              </w:rPr>
              <w:t>运输</w:t>
            </w:r>
            <w:r>
              <w:rPr>
                <w:rFonts w:hint="default" w:ascii="Times New Roman" w:hAnsi="Times New Roman" w:cs="Times New Roman"/>
                <w:szCs w:val="21"/>
                <w:highlight w:val="none"/>
              </w:rPr>
              <w:t>过程（A2）</w:t>
            </w:r>
          </w:p>
        </w:tc>
        <w:tc>
          <w:tcPr>
            <w:tcW w:w="3892" w:type="pct"/>
          </w:tcPr>
          <w:p w14:paraId="213F3852">
            <w:pPr>
              <w:pStyle w:val="151"/>
              <w:numPr>
                <w:ilvl w:val="0"/>
                <w:numId w:val="0"/>
              </w:numPr>
              <w:spacing w:line="272" w:lineRule="auto"/>
              <w:rPr>
                <w:rFonts w:hint="eastAsia" w:ascii="Times New Roman" w:hAnsi="Times New Roman" w:eastAsia="宋体" w:cs="Times New Roman"/>
                <w:szCs w:val="18"/>
                <w:highlight w:val="none"/>
                <w:vertAlign w:val="baseline"/>
                <w:lang w:val="en-US" w:eastAsia="zh-CN"/>
              </w:rPr>
            </w:pPr>
            <w:r>
              <w:rPr>
                <w:rFonts w:hint="default" w:ascii="Times New Roman" w:hAnsi="Times New Roman" w:cs="Times New Roman"/>
                <w:szCs w:val="21"/>
                <w:highlight w:val="none"/>
              </w:rPr>
              <w:t>原料、能源等从产地到</w:t>
            </w:r>
            <w:r>
              <w:rPr>
                <w:rFonts w:hint="default" w:ascii="Times New Roman" w:hAnsi="Times New Roman" w:cs="Times New Roman"/>
                <w:szCs w:val="21"/>
                <w:highlight w:val="none"/>
                <w:lang w:val="en-US" w:eastAsia="zh-CN"/>
              </w:rPr>
              <w:t>熟料或水泥产品生产企业</w:t>
            </w:r>
            <w:r>
              <w:rPr>
                <w:rFonts w:hint="default" w:ascii="Times New Roman" w:hAnsi="Times New Roman" w:cs="Times New Roman"/>
                <w:szCs w:val="21"/>
                <w:highlight w:val="none"/>
              </w:rPr>
              <w:t>的运输和输送；</w:t>
            </w:r>
          </w:p>
        </w:tc>
      </w:tr>
      <w:tr w14:paraId="75A12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401" w:type="pct"/>
            <w:vMerge w:val="restart"/>
          </w:tcPr>
          <w:p w14:paraId="1D65E851">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default" w:ascii="Times New Roman" w:hAnsi="Times New Roman" w:cs="Times New Roman"/>
                <w:szCs w:val="21"/>
                <w:highlight w:val="none"/>
                <w:lang w:val="en-US" w:eastAsia="zh-CN"/>
              </w:rPr>
              <w:t>产品生产</w:t>
            </w:r>
            <w:r>
              <w:rPr>
                <w:rFonts w:hint="default" w:ascii="Times New Roman" w:hAnsi="Times New Roman" w:cs="Times New Roman"/>
                <w:szCs w:val="21"/>
                <w:highlight w:val="none"/>
              </w:rPr>
              <w:t>过程（A3）</w:t>
            </w:r>
          </w:p>
        </w:tc>
        <w:tc>
          <w:tcPr>
            <w:tcW w:w="705" w:type="pct"/>
          </w:tcPr>
          <w:p w14:paraId="7AC31073">
            <w:pPr>
              <w:pStyle w:val="26"/>
              <w:numPr>
                <w:ilvl w:val="0"/>
                <w:numId w:val="0"/>
              </w:numPr>
              <w:spacing w:line="272" w:lineRule="auto"/>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熟料产品</w:t>
            </w:r>
          </w:p>
        </w:tc>
        <w:tc>
          <w:tcPr>
            <w:tcW w:w="3892" w:type="pct"/>
          </w:tcPr>
          <w:p w14:paraId="5682A9AC">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eastAsia" w:ascii="Times New Roman" w:cs="Times New Roman"/>
                <w:szCs w:val="21"/>
                <w:highlight w:val="none"/>
                <w:lang w:val="en-US" w:eastAsia="zh-CN"/>
              </w:rPr>
              <w:t>1）</w:t>
            </w:r>
            <w:r>
              <w:rPr>
                <w:rFonts w:hint="default" w:ascii="Times New Roman" w:hAnsi="Times New Roman" w:cs="Times New Roman"/>
                <w:szCs w:val="18"/>
                <w:highlight w:val="none"/>
                <w:vertAlign w:val="baseline"/>
                <w:lang w:val="en-US" w:eastAsia="zh-CN"/>
              </w:rPr>
              <w:t>原料预处理、生料制备、煤粉制备、熟料烧成、协同处置、余热发电等过程；</w:t>
            </w:r>
          </w:p>
          <w:p w14:paraId="5B838EE6">
            <w:pPr>
              <w:pStyle w:val="26"/>
              <w:numPr>
                <w:ilvl w:val="0"/>
                <w:numId w:val="0"/>
              </w:numPr>
              <w:spacing w:line="272" w:lineRule="auto"/>
              <w:rPr>
                <w:rFonts w:hint="default" w:ascii="Times New Roman" w:hAnsi="Times New Roman" w:cs="Times New Roman"/>
                <w:szCs w:val="21"/>
                <w:highlight w:val="none"/>
                <w:lang w:val="en-US" w:eastAsia="zh-CN"/>
              </w:rPr>
            </w:pPr>
            <w:r>
              <w:rPr>
                <w:rFonts w:hint="eastAsia" w:ascii="Times New Roman" w:cs="Times New Roman"/>
                <w:szCs w:val="21"/>
                <w:highlight w:val="none"/>
                <w:lang w:val="en-US" w:eastAsia="zh-CN"/>
              </w:rPr>
              <w:t>2）</w:t>
            </w:r>
            <w:r>
              <w:rPr>
                <w:rFonts w:hint="default" w:ascii="Times New Roman" w:hAnsi="Times New Roman" w:cs="Times New Roman"/>
                <w:szCs w:val="21"/>
                <w:highlight w:val="none"/>
                <w:lang w:val="en-US" w:eastAsia="zh-CN"/>
              </w:rPr>
              <w:t>熟料制备阶段碳酸盐分解过程；</w:t>
            </w:r>
          </w:p>
          <w:p w14:paraId="0E861940">
            <w:pPr>
              <w:pStyle w:val="26"/>
              <w:numPr>
                <w:ilvl w:val="0"/>
                <w:numId w:val="0"/>
              </w:numPr>
              <w:spacing w:line="272" w:lineRule="auto"/>
              <w:rPr>
                <w:rFonts w:hint="default" w:ascii="Times New Roman" w:hAnsi="Times New Roman" w:eastAsia="宋体" w:cs="Times New Roman"/>
                <w:szCs w:val="21"/>
                <w:highlight w:val="none"/>
                <w:lang w:val="en-US" w:eastAsia="zh-CN"/>
              </w:rPr>
            </w:pPr>
            <w:bookmarkStart w:id="17" w:name="OLE_LINK13"/>
            <w:r>
              <w:rPr>
                <w:rFonts w:hint="eastAsia" w:ascii="Times New Roman" w:cs="Times New Roman"/>
                <w:szCs w:val="21"/>
                <w:highlight w:val="none"/>
                <w:lang w:val="en-US" w:eastAsia="zh-CN"/>
              </w:rPr>
              <w:t>3）厂内运输过程；</w:t>
            </w:r>
          </w:p>
          <w:bookmarkEnd w:id="17"/>
          <w:p w14:paraId="00983BA5">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eastAsia" w:ascii="Times New Roman" w:cs="Times New Roman"/>
                <w:szCs w:val="18"/>
                <w:highlight w:val="none"/>
                <w:vertAlign w:val="baseline"/>
                <w:lang w:val="en-US" w:eastAsia="zh-CN"/>
              </w:rPr>
              <w:t>4）</w:t>
            </w:r>
            <w:r>
              <w:rPr>
                <w:rFonts w:hint="default" w:ascii="Times New Roman" w:hAnsi="Times New Roman" w:cs="Times New Roman"/>
                <w:szCs w:val="18"/>
                <w:highlight w:val="none"/>
                <w:vertAlign w:val="baseline"/>
                <w:lang w:val="en-US" w:eastAsia="zh-CN"/>
              </w:rPr>
              <w:t>各阶段所产生的废（污）水及废弃物处理相关过程</w:t>
            </w:r>
            <w:r>
              <w:rPr>
                <w:rFonts w:hint="eastAsia" w:ascii="Times New Roman" w:cs="Times New Roman"/>
                <w:szCs w:val="18"/>
                <w:highlight w:val="none"/>
                <w:vertAlign w:val="baseline"/>
                <w:lang w:val="en-US" w:eastAsia="zh-CN"/>
              </w:rPr>
              <w:t>；</w:t>
            </w:r>
          </w:p>
        </w:tc>
      </w:tr>
      <w:tr w14:paraId="0CE5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401" w:type="pct"/>
            <w:vMerge w:val="continue"/>
          </w:tcPr>
          <w:p w14:paraId="3236F34A">
            <w:pPr>
              <w:pStyle w:val="26"/>
              <w:numPr>
                <w:ilvl w:val="0"/>
                <w:numId w:val="0"/>
              </w:numPr>
              <w:spacing w:line="272" w:lineRule="auto"/>
              <w:rPr>
                <w:rFonts w:hint="default" w:ascii="Times New Roman" w:hAnsi="Times New Roman" w:cs="Times New Roman"/>
                <w:szCs w:val="21"/>
                <w:highlight w:val="none"/>
                <w:lang w:val="en-US" w:eastAsia="zh-CN"/>
              </w:rPr>
            </w:pPr>
          </w:p>
        </w:tc>
        <w:tc>
          <w:tcPr>
            <w:tcW w:w="705" w:type="pct"/>
          </w:tcPr>
          <w:p w14:paraId="15A6BB83">
            <w:pPr>
              <w:pStyle w:val="26"/>
              <w:numPr>
                <w:ilvl w:val="0"/>
                <w:numId w:val="0"/>
              </w:numPr>
              <w:spacing w:line="272" w:lineRule="auto"/>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水泥产品（粉磨站）</w:t>
            </w:r>
          </w:p>
        </w:tc>
        <w:tc>
          <w:tcPr>
            <w:tcW w:w="3892" w:type="pct"/>
          </w:tcPr>
          <w:p w14:paraId="2DDB93F8">
            <w:pPr>
              <w:pStyle w:val="26"/>
              <w:spacing w:line="272" w:lineRule="auto"/>
              <w:ind w:left="0" w:leftChars="0" w:firstLine="0" w:firstLineChars="0"/>
              <w:rPr>
                <w:rFonts w:hint="default" w:ascii="Times New Roman" w:hAnsi="Times New Roman" w:cs="Times New Roman"/>
                <w:szCs w:val="18"/>
                <w:highlight w:val="none"/>
                <w:vertAlign w:val="baseline"/>
                <w:lang w:val="en-US" w:eastAsia="zh-CN"/>
              </w:rPr>
            </w:pPr>
            <w:r>
              <w:rPr>
                <w:rFonts w:hint="eastAsia" w:ascii="Times New Roman" w:cs="Times New Roman"/>
                <w:szCs w:val="21"/>
                <w:highlight w:val="none"/>
                <w:lang w:val="en-US" w:eastAsia="zh-CN"/>
              </w:rPr>
              <w:t>1）</w:t>
            </w:r>
            <w:r>
              <w:rPr>
                <w:rFonts w:hint="default" w:ascii="Times New Roman" w:hAnsi="Times New Roman" w:cs="Times New Roman"/>
                <w:szCs w:val="18"/>
                <w:highlight w:val="none"/>
                <w:vertAlign w:val="baseline"/>
                <w:lang w:val="en-US" w:eastAsia="zh-CN"/>
              </w:rPr>
              <w:t>水泥粉磨、包装及发运等过程；</w:t>
            </w:r>
          </w:p>
          <w:p w14:paraId="2FF39DC5">
            <w:pPr>
              <w:pStyle w:val="26"/>
              <w:numPr>
                <w:ilvl w:val="0"/>
                <w:numId w:val="0"/>
              </w:numPr>
              <w:spacing w:line="272" w:lineRule="auto"/>
              <w:rPr>
                <w:rFonts w:hint="default" w:ascii="Times New Roman" w:hAnsi="Times New Roman" w:eastAsia="宋体" w:cs="Times New Roman"/>
                <w:szCs w:val="21"/>
                <w:highlight w:val="none"/>
                <w:lang w:val="en-US" w:eastAsia="zh-CN"/>
              </w:rPr>
            </w:pPr>
            <w:r>
              <w:rPr>
                <w:rFonts w:hint="eastAsia" w:ascii="Times New Roman" w:cs="Times New Roman"/>
                <w:szCs w:val="21"/>
                <w:highlight w:val="none"/>
                <w:lang w:val="en-US" w:eastAsia="zh-CN"/>
              </w:rPr>
              <w:t>2）厂内运输过程；</w:t>
            </w:r>
          </w:p>
          <w:p w14:paraId="1C407224">
            <w:pPr>
              <w:pStyle w:val="26"/>
              <w:spacing w:line="272" w:lineRule="auto"/>
              <w:ind w:left="0" w:leftChars="0" w:firstLine="0" w:firstLineChars="0"/>
              <w:rPr>
                <w:rFonts w:hint="default" w:ascii="Times New Roman" w:hAnsi="Times New Roman" w:cs="Times New Roman"/>
                <w:szCs w:val="18"/>
                <w:highlight w:val="none"/>
                <w:vertAlign w:val="baseline"/>
                <w:lang w:val="en-US" w:eastAsia="zh-CN"/>
              </w:rPr>
            </w:pPr>
            <w:r>
              <w:rPr>
                <w:rFonts w:hint="eastAsia" w:ascii="Times New Roman" w:cs="Times New Roman"/>
                <w:szCs w:val="18"/>
                <w:highlight w:val="none"/>
                <w:vertAlign w:val="baseline"/>
                <w:lang w:val="en-US" w:eastAsia="zh-CN"/>
              </w:rPr>
              <w:t>3）</w:t>
            </w:r>
            <w:r>
              <w:rPr>
                <w:rFonts w:hint="default" w:ascii="Times New Roman" w:hAnsi="Times New Roman" w:cs="Times New Roman"/>
                <w:szCs w:val="18"/>
                <w:highlight w:val="none"/>
                <w:vertAlign w:val="baseline"/>
                <w:lang w:val="en-US" w:eastAsia="zh-CN"/>
              </w:rPr>
              <w:t>各阶段所产生的废（污）水及废弃物处理及运输相关过程</w:t>
            </w:r>
            <w:r>
              <w:rPr>
                <w:rFonts w:hint="eastAsia" w:ascii="Times New Roman" w:cs="Times New Roman"/>
                <w:szCs w:val="18"/>
                <w:highlight w:val="none"/>
                <w:vertAlign w:val="baseline"/>
                <w:lang w:val="en-US" w:eastAsia="zh-CN"/>
              </w:rPr>
              <w:t>；</w:t>
            </w:r>
          </w:p>
        </w:tc>
      </w:tr>
      <w:tr w14:paraId="16F8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401" w:type="pct"/>
            <w:vMerge w:val="continue"/>
          </w:tcPr>
          <w:p w14:paraId="04E2AF3B">
            <w:pPr>
              <w:pStyle w:val="26"/>
              <w:numPr>
                <w:ilvl w:val="0"/>
                <w:numId w:val="0"/>
              </w:numPr>
              <w:spacing w:line="272" w:lineRule="auto"/>
              <w:rPr>
                <w:rFonts w:hint="default" w:ascii="Times New Roman" w:hAnsi="Times New Roman" w:cs="Times New Roman"/>
                <w:szCs w:val="21"/>
                <w:highlight w:val="none"/>
                <w:lang w:val="en-US" w:eastAsia="zh-CN"/>
              </w:rPr>
            </w:pPr>
          </w:p>
        </w:tc>
        <w:tc>
          <w:tcPr>
            <w:tcW w:w="705" w:type="pct"/>
          </w:tcPr>
          <w:p w14:paraId="608E428B">
            <w:pPr>
              <w:pStyle w:val="26"/>
              <w:numPr>
                <w:ilvl w:val="0"/>
                <w:numId w:val="0"/>
              </w:numPr>
              <w:spacing w:line="272" w:lineRule="auto"/>
              <w:rPr>
                <w:rFonts w:hint="default" w:ascii="Times New Roman" w:hAnsi="Times New Roman" w:cs="Times New Roman"/>
                <w:szCs w:val="21"/>
                <w:highlight w:val="none"/>
                <w:lang w:val="en-US" w:eastAsia="zh-CN"/>
              </w:rPr>
            </w:pPr>
            <w:r>
              <w:rPr>
                <w:rFonts w:hint="default" w:ascii="Times New Roman" w:hAnsi="Times New Roman" w:cs="Times New Roman"/>
                <w:szCs w:val="21"/>
                <w:highlight w:val="none"/>
                <w:lang w:val="en-US" w:eastAsia="zh-CN"/>
              </w:rPr>
              <w:t>全流程水泥产品</w:t>
            </w:r>
          </w:p>
        </w:tc>
        <w:tc>
          <w:tcPr>
            <w:tcW w:w="3892" w:type="pct"/>
            <w:vAlign w:val="top"/>
          </w:tcPr>
          <w:p w14:paraId="564342EA">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eastAsia" w:ascii="Times New Roman" w:cs="Times New Roman"/>
                <w:szCs w:val="21"/>
                <w:highlight w:val="none"/>
                <w:lang w:val="en-US" w:eastAsia="zh-CN"/>
              </w:rPr>
              <w:t>1）</w:t>
            </w:r>
            <w:r>
              <w:rPr>
                <w:rFonts w:hint="default" w:ascii="Times New Roman" w:hAnsi="Times New Roman" w:cs="Times New Roman"/>
                <w:szCs w:val="18"/>
                <w:highlight w:val="none"/>
                <w:vertAlign w:val="baseline"/>
                <w:lang w:val="en-US" w:eastAsia="zh-CN"/>
              </w:rPr>
              <w:t>原料预处理、生料制备、煤粉制备、熟料烧成、协同处置、余热发电等过程；</w:t>
            </w:r>
          </w:p>
          <w:p w14:paraId="2B7BE64E">
            <w:pPr>
              <w:pStyle w:val="26"/>
              <w:numPr>
                <w:ilvl w:val="0"/>
                <w:numId w:val="0"/>
              </w:numPr>
              <w:spacing w:line="272" w:lineRule="auto"/>
              <w:rPr>
                <w:rFonts w:hint="default" w:ascii="Times New Roman" w:hAnsi="Times New Roman" w:cs="Times New Roman"/>
                <w:szCs w:val="21"/>
                <w:highlight w:val="none"/>
                <w:lang w:val="en-US" w:eastAsia="zh-CN"/>
              </w:rPr>
            </w:pPr>
            <w:r>
              <w:rPr>
                <w:rFonts w:hint="eastAsia" w:ascii="Times New Roman" w:cs="Times New Roman"/>
                <w:szCs w:val="21"/>
                <w:highlight w:val="none"/>
                <w:lang w:val="en-US" w:eastAsia="zh-CN"/>
              </w:rPr>
              <w:t>2）</w:t>
            </w:r>
            <w:r>
              <w:rPr>
                <w:rFonts w:hint="default" w:ascii="Times New Roman" w:hAnsi="Times New Roman" w:cs="Times New Roman"/>
                <w:szCs w:val="21"/>
                <w:highlight w:val="none"/>
                <w:lang w:val="en-US" w:eastAsia="zh-CN"/>
              </w:rPr>
              <w:t>熟料制备阶段碳酸盐分解过程；</w:t>
            </w:r>
          </w:p>
          <w:p w14:paraId="3672D9C8">
            <w:pPr>
              <w:pStyle w:val="26"/>
              <w:numPr>
                <w:ilvl w:val="0"/>
                <w:numId w:val="0"/>
              </w:numPr>
              <w:spacing w:line="272" w:lineRule="auto"/>
              <w:rPr>
                <w:rFonts w:hint="default" w:ascii="Times New Roman" w:hAnsi="Times New Roman" w:cs="Times New Roman"/>
                <w:szCs w:val="18"/>
                <w:highlight w:val="none"/>
                <w:vertAlign w:val="baseline"/>
                <w:lang w:val="en-US" w:eastAsia="zh-CN"/>
              </w:rPr>
            </w:pPr>
            <w:r>
              <w:rPr>
                <w:rFonts w:hint="eastAsia" w:ascii="Times New Roman" w:cs="Times New Roman"/>
                <w:szCs w:val="21"/>
                <w:highlight w:val="none"/>
                <w:lang w:val="en-US" w:eastAsia="zh-CN"/>
              </w:rPr>
              <w:t>3）</w:t>
            </w:r>
            <w:r>
              <w:rPr>
                <w:rFonts w:hint="default" w:ascii="Times New Roman" w:hAnsi="Times New Roman" w:cs="Times New Roman"/>
                <w:szCs w:val="18"/>
                <w:highlight w:val="none"/>
                <w:vertAlign w:val="baseline"/>
                <w:lang w:val="en-US" w:eastAsia="zh-CN"/>
              </w:rPr>
              <w:t>水泥粉磨、包装及发运等过程；</w:t>
            </w:r>
          </w:p>
          <w:p w14:paraId="38AF9D0A">
            <w:pPr>
              <w:pStyle w:val="26"/>
              <w:numPr>
                <w:ilvl w:val="0"/>
                <w:numId w:val="0"/>
              </w:numPr>
              <w:spacing w:line="272" w:lineRule="auto"/>
              <w:rPr>
                <w:rFonts w:hint="default" w:ascii="Times New Roman" w:hAnsi="Times New Roman" w:eastAsia="宋体" w:cs="Times New Roman"/>
                <w:szCs w:val="21"/>
                <w:highlight w:val="none"/>
                <w:lang w:val="en-US" w:eastAsia="zh-CN"/>
              </w:rPr>
            </w:pPr>
            <w:r>
              <w:rPr>
                <w:rFonts w:hint="eastAsia" w:ascii="Times New Roman" w:cs="Times New Roman"/>
                <w:szCs w:val="21"/>
                <w:highlight w:val="none"/>
                <w:lang w:val="en-US" w:eastAsia="zh-CN"/>
              </w:rPr>
              <w:t>4）厂内运输过程；</w:t>
            </w:r>
          </w:p>
          <w:p w14:paraId="2DEDB6C1">
            <w:pPr>
              <w:pStyle w:val="26"/>
              <w:numPr>
                <w:ilvl w:val="0"/>
                <w:numId w:val="0"/>
              </w:numPr>
              <w:spacing w:line="272" w:lineRule="auto"/>
              <w:ind w:left="0" w:leftChars="0" w:firstLine="0" w:firstLineChars="0"/>
              <w:rPr>
                <w:rFonts w:hint="default" w:ascii="Times New Roman" w:hAnsi="Times New Roman" w:eastAsia="宋体" w:cs="Times New Roman"/>
                <w:sz w:val="21"/>
                <w:szCs w:val="18"/>
                <w:highlight w:val="none"/>
                <w:vertAlign w:val="baseline"/>
                <w:lang w:val="en-US" w:eastAsia="zh-CN" w:bidi="ar-SA"/>
              </w:rPr>
            </w:pPr>
            <w:r>
              <w:rPr>
                <w:rFonts w:hint="eastAsia" w:ascii="Times New Roman" w:cs="Times New Roman"/>
                <w:szCs w:val="18"/>
                <w:highlight w:val="none"/>
                <w:vertAlign w:val="baseline"/>
                <w:lang w:val="en-US" w:eastAsia="zh-CN"/>
              </w:rPr>
              <w:t>5）</w:t>
            </w:r>
            <w:r>
              <w:rPr>
                <w:rFonts w:hint="default" w:ascii="Times New Roman" w:hAnsi="Times New Roman" w:cs="Times New Roman"/>
                <w:szCs w:val="18"/>
                <w:highlight w:val="none"/>
                <w:vertAlign w:val="baseline"/>
                <w:lang w:val="en-US" w:eastAsia="zh-CN"/>
              </w:rPr>
              <w:t>各阶段所产生的</w:t>
            </w:r>
            <w:bookmarkStart w:id="18" w:name="OLE_LINK17"/>
            <w:r>
              <w:rPr>
                <w:rFonts w:hint="default" w:ascii="Times New Roman" w:hAnsi="Times New Roman" w:cs="Times New Roman"/>
                <w:szCs w:val="18"/>
                <w:highlight w:val="none"/>
                <w:vertAlign w:val="baseline"/>
                <w:lang w:val="en-US" w:eastAsia="zh-CN"/>
              </w:rPr>
              <w:t>废（污）水及废弃物处理</w:t>
            </w:r>
            <w:bookmarkEnd w:id="18"/>
            <w:r>
              <w:rPr>
                <w:rFonts w:hint="default" w:ascii="Times New Roman" w:hAnsi="Times New Roman" w:cs="Times New Roman"/>
                <w:szCs w:val="18"/>
                <w:highlight w:val="none"/>
                <w:vertAlign w:val="baseline"/>
                <w:lang w:val="en-US" w:eastAsia="zh-CN"/>
              </w:rPr>
              <w:t>相关过程</w:t>
            </w:r>
            <w:r>
              <w:rPr>
                <w:rFonts w:hint="eastAsia" w:ascii="Times New Roman" w:cs="Times New Roman"/>
                <w:szCs w:val="18"/>
                <w:highlight w:val="none"/>
                <w:vertAlign w:val="baseline"/>
                <w:lang w:val="en-US" w:eastAsia="zh-CN"/>
              </w:rPr>
              <w:t>；</w:t>
            </w:r>
          </w:p>
        </w:tc>
      </w:tr>
    </w:tbl>
    <w:p w14:paraId="5E2EEDCC">
      <w:pPr>
        <w:pStyle w:val="26"/>
        <w:numPr>
          <w:ilvl w:val="-1"/>
          <w:numId w:val="0"/>
        </w:numPr>
        <w:spacing w:line="272" w:lineRule="auto"/>
        <w:ind w:firstLineChars="200"/>
        <w:rPr>
          <w:rFonts w:hint="default" w:ascii="Times New Roman" w:hAnsi="Times New Roman" w:cs="Times New Roman"/>
          <w:highlight w:val="none"/>
        </w:rPr>
      </w:pPr>
      <w:r>
        <w:rPr>
          <w:rFonts w:hint="default" w:ascii="Times New Roman" w:hAnsi="Times New Roman" w:cs="Times New Roman"/>
          <w:highlight w:val="none"/>
          <w:lang w:val="en-US" w:eastAsia="zh-CN"/>
        </w:rPr>
        <w:t>（2）施工阶段</w:t>
      </w:r>
      <w:r>
        <w:rPr>
          <w:rFonts w:hint="default" w:ascii="Times New Roman" w:hAnsi="Times New Roman" w:cs="Times New Roman"/>
          <w:highlight w:val="none"/>
        </w:rPr>
        <w:t>（</w:t>
      </w:r>
      <w:r>
        <w:rPr>
          <w:rFonts w:hint="default" w:ascii="Times New Roman" w:hAnsi="Times New Roman" w:cs="Times New Roman"/>
          <w:highlight w:val="none"/>
          <w:lang w:val="en-US" w:eastAsia="zh-CN"/>
        </w:rPr>
        <w:t>A4-A5</w:t>
      </w:r>
      <w:r>
        <w:rPr>
          <w:rFonts w:hint="default" w:ascii="Times New Roman" w:hAnsi="Times New Roman" w:cs="Times New Roman"/>
          <w:highlight w:val="none"/>
        </w:rPr>
        <w:t>）</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熟料及水泥产品不涉及。</w:t>
      </w:r>
    </w:p>
    <w:p w14:paraId="5BB7E9B6">
      <w:pPr>
        <w:pStyle w:val="26"/>
        <w:numPr>
          <w:ilvl w:val="-1"/>
          <w:numId w:val="0"/>
        </w:numPr>
        <w:spacing w:line="272" w:lineRule="auto"/>
        <w:ind w:firstLineChars="200"/>
        <w:rPr>
          <w:rFonts w:hint="default" w:ascii="Times New Roman" w:hAnsi="Times New Roman" w:cs="Times New Roman"/>
          <w:szCs w:val="21"/>
          <w:highlight w:val="none"/>
        </w:rPr>
      </w:pPr>
      <w:r>
        <w:rPr>
          <w:rFonts w:hint="default" w:ascii="Times New Roman" w:hAnsi="Times New Roman" w:cs="Times New Roman"/>
          <w:highlight w:val="none"/>
          <w:lang w:val="en-US" w:eastAsia="zh-CN"/>
        </w:rPr>
        <w:t>（3）使用</w:t>
      </w:r>
      <w:r>
        <w:rPr>
          <w:rFonts w:hint="default" w:ascii="Times New Roman" w:hAnsi="Times New Roman" w:cs="Times New Roman"/>
          <w:highlight w:val="none"/>
        </w:rPr>
        <w:t>阶段（</w:t>
      </w:r>
      <w:r>
        <w:rPr>
          <w:rFonts w:hint="default" w:ascii="Times New Roman" w:hAnsi="Times New Roman" w:cs="Times New Roman"/>
          <w:highlight w:val="none"/>
          <w:lang w:val="en-US" w:eastAsia="zh-CN"/>
        </w:rPr>
        <w:t>B1</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B5</w:t>
      </w:r>
      <w:r>
        <w:rPr>
          <w:rFonts w:hint="default" w:ascii="Times New Roman" w:hAnsi="Times New Roman" w:cs="Times New Roman"/>
          <w:highlight w:val="none"/>
        </w:rPr>
        <w:t>）</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熟料及水泥产品不涉及。</w:t>
      </w:r>
    </w:p>
    <w:p w14:paraId="099D2303">
      <w:pPr>
        <w:pStyle w:val="26"/>
        <w:numPr>
          <w:ilvl w:val="-1"/>
          <w:numId w:val="0"/>
        </w:numPr>
        <w:spacing w:line="272" w:lineRule="auto"/>
        <w:ind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4</w:t>
      </w:r>
      <w:r>
        <w:rPr>
          <w:rFonts w:hint="default" w:ascii="Times New Roman" w:hAnsi="Times New Roman" w:cs="Times New Roman"/>
          <w:highlight w:val="none"/>
          <w:lang w:eastAsia="zh-CN"/>
        </w:rPr>
        <w:t>）</w:t>
      </w:r>
      <w:r>
        <w:rPr>
          <w:rFonts w:hint="default" w:ascii="Times New Roman" w:hAnsi="Times New Roman" w:cs="Times New Roman"/>
          <w:highlight w:val="none"/>
        </w:rPr>
        <w:t>生命末期阶段（</w:t>
      </w:r>
      <w:r>
        <w:rPr>
          <w:rFonts w:hint="default" w:ascii="Times New Roman" w:hAnsi="Times New Roman" w:cs="Times New Roman"/>
          <w:highlight w:val="none"/>
          <w:lang w:val="en-US" w:eastAsia="zh-CN"/>
        </w:rPr>
        <w:t>C1</w:t>
      </w:r>
      <w:r>
        <w:rPr>
          <w:rFonts w:hint="eastAsia" w:ascii="Times New Roman" w:cs="Times New Roman"/>
          <w:highlight w:val="none"/>
          <w:lang w:val="en-US" w:eastAsia="zh-CN"/>
        </w:rPr>
        <w:t>-</w:t>
      </w:r>
      <w:r>
        <w:rPr>
          <w:rFonts w:hint="default" w:ascii="Times New Roman" w:hAnsi="Times New Roman" w:cs="Times New Roman"/>
          <w:highlight w:val="none"/>
          <w:lang w:val="en-US" w:eastAsia="zh-CN"/>
        </w:rPr>
        <w:t>C4</w:t>
      </w:r>
      <w:r>
        <w:rPr>
          <w:rFonts w:hint="default" w:ascii="Times New Roman" w:hAnsi="Times New Roman" w:cs="Times New Roman"/>
          <w:highlight w:val="none"/>
        </w:rPr>
        <w:t>）</w:t>
      </w:r>
      <w:r>
        <w:rPr>
          <w:rFonts w:hint="default" w:ascii="Times New Roman" w:hAnsi="Times New Roman" w:cs="Times New Roman"/>
          <w:highlight w:val="none"/>
          <w:lang w:eastAsia="zh-CN"/>
        </w:rPr>
        <w:t>：</w:t>
      </w:r>
      <w:r>
        <w:rPr>
          <w:rFonts w:hint="default" w:ascii="Times New Roman" w:hAnsi="Times New Roman" w:cs="Times New Roman"/>
          <w:highlight w:val="none"/>
          <w:lang w:val="en-US" w:eastAsia="zh-CN"/>
        </w:rPr>
        <w:t>熟料及水泥产品不涉及。</w:t>
      </w:r>
    </w:p>
    <w:p w14:paraId="2E806D3F">
      <w:pPr>
        <w:pStyle w:val="26"/>
        <w:numPr>
          <w:ilvl w:val="-1"/>
          <w:numId w:val="0"/>
        </w:numPr>
        <w:spacing w:line="272" w:lineRule="auto"/>
        <w:ind w:firstLineChars="200"/>
        <w:rPr>
          <w:rFonts w:ascii="Times New Roman"/>
        </w:rPr>
      </w:pPr>
      <w:r>
        <w:rPr>
          <w:rFonts w:hint="default" w:ascii="Times New Roman" w:hAnsi="Times New Roman" w:cs="Times New Roman"/>
          <w:highlight w:val="none"/>
          <w:lang w:val="en-US" w:eastAsia="zh-CN"/>
        </w:rPr>
        <w:t>（5）模块D，熟料及水泥产品不涉及。</w:t>
      </w:r>
    </w:p>
    <w:p w14:paraId="7633E662">
      <w:pPr>
        <w:pStyle w:val="46"/>
        <w:numPr>
          <w:ilvl w:val="1"/>
          <w:numId w:val="10"/>
        </w:numPr>
        <w:spacing w:beforeLines="0" w:afterLines="0" w:line="276" w:lineRule="auto"/>
        <w:jc w:val="both"/>
        <w:outlineLvl w:val="1"/>
        <w:rPr>
          <w:rFonts w:ascii="Times New Roman"/>
        </w:rPr>
      </w:pPr>
      <w:r>
        <w:rPr>
          <w:rFonts w:ascii="Times New Roman"/>
        </w:rPr>
        <w:t>声明单位</w:t>
      </w:r>
    </w:p>
    <w:p w14:paraId="02943D57">
      <w:pPr>
        <w:pStyle w:val="26"/>
        <w:spacing w:line="276" w:lineRule="auto"/>
        <w:ind w:firstLine="422"/>
        <w:rPr>
          <w:rFonts w:ascii="Times New Roman"/>
        </w:rPr>
      </w:pPr>
      <w:r>
        <w:rPr>
          <w:rFonts w:hint="eastAsia" w:ascii="Times New Roman"/>
        </w:rPr>
        <w:t>熟料碳足迹量化的声明单位为“生产1t某类别的熟料”，如生产1t硅酸盐水泥熟料；水泥产品碳足迹量化的声明单位为“生产1t某强度等级的水泥产品”，如生产1t P.O42.5水泥。</w:t>
      </w:r>
    </w:p>
    <w:p w14:paraId="774C1C13">
      <w:pPr>
        <w:pStyle w:val="46"/>
        <w:numPr>
          <w:ilvl w:val="1"/>
          <w:numId w:val="10"/>
        </w:numPr>
        <w:spacing w:before="156" w:after="156" w:line="276" w:lineRule="auto"/>
        <w:outlineLvl w:val="1"/>
        <w:rPr>
          <w:rFonts w:ascii="Times New Roman"/>
        </w:rPr>
      </w:pPr>
      <w:r>
        <w:rPr>
          <w:rFonts w:ascii="Times New Roman"/>
        </w:rPr>
        <w:t>取舍准则</w:t>
      </w:r>
    </w:p>
    <w:p w14:paraId="5ABAE25C">
      <w:pPr>
        <w:pStyle w:val="26"/>
        <w:spacing w:line="276" w:lineRule="auto"/>
        <w:rPr>
          <w:rFonts w:ascii="Times New Roman"/>
        </w:rPr>
      </w:pPr>
      <w:r>
        <w:rPr>
          <w:rFonts w:ascii="Times New Roman"/>
        </w:rPr>
        <w:t>所涉及的物质（能量）数据的取舍应遵循如下准则：</w:t>
      </w:r>
    </w:p>
    <w:p w14:paraId="581482C6">
      <w:pPr>
        <w:pStyle w:val="151"/>
        <w:numPr>
          <w:ilvl w:val="0"/>
          <w:numId w:val="12"/>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所有的能源输入均需列出，包括使用的含能废弃物；</w:t>
      </w:r>
    </w:p>
    <w:p w14:paraId="38C4AD67">
      <w:pPr>
        <w:pStyle w:val="151"/>
        <w:numPr>
          <w:ilvl w:val="0"/>
          <w:numId w:val="12"/>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应列出主要的原料及辅料输入，若符合c）和d）要求则可忽略；</w:t>
      </w:r>
    </w:p>
    <w:p w14:paraId="3063C20B">
      <w:pPr>
        <w:pStyle w:val="151"/>
        <w:numPr>
          <w:ilvl w:val="0"/>
          <w:numId w:val="12"/>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忽略的单项物质（能量）流或单元过程对产品碳足迹的贡献均不得超过1%</w:t>
      </w:r>
      <w:r>
        <w:rPr>
          <w:rFonts w:hint="eastAsia" w:ascii="Times New Roman" w:hAnsi="Times New Roman" w:eastAsia="宋体" w:cs="Times New Roman"/>
          <w:szCs w:val="21"/>
        </w:rPr>
        <w:t>，如生产设备维修耗材等；</w:t>
      </w:r>
    </w:p>
    <w:p w14:paraId="0B4443F6">
      <w:pPr>
        <w:pStyle w:val="151"/>
        <w:numPr>
          <w:ilvl w:val="0"/>
          <w:numId w:val="12"/>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所有忽略的物质（能量）流与单元过程对产品碳足迹贡献总和不超过5%，且应在产品碳足迹报告中予以说明</w:t>
      </w:r>
      <w:r>
        <w:rPr>
          <w:rFonts w:hint="eastAsia" w:ascii="Times New Roman" w:hAnsi="Times New Roman" w:eastAsia="宋体" w:cs="Times New Roman"/>
          <w:szCs w:val="21"/>
        </w:rPr>
        <w:t>。</w:t>
      </w:r>
    </w:p>
    <w:p w14:paraId="57B40FCA">
      <w:pPr>
        <w:pStyle w:val="151"/>
        <w:numPr>
          <w:ilvl w:val="0"/>
          <w:numId w:val="12"/>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道路与厂房等基础设施的建设、各工序设备的制造、厂区内人员及生活设施的消耗和排放，均可忽略。</w:t>
      </w:r>
    </w:p>
    <w:p w14:paraId="340E1093">
      <w:pPr>
        <w:pStyle w:val="49"/>
        <w:numPr>
          <w:ilvl w:val="0"/>
          <w:numId w:val="10"/>
        </w:numPr>
        <w:spacing w:before="156" w:beforeLines="50" w:afterLines="0" w:line="276" w:lineRule="auto"/>
        <w:outlineLvl w:val="0"/>
        <w:rPr>
          <w:rFonts w:ascii="Times New Roman" w:eastAsia="宋体"/>
          <w:b/>
          <w:bCs/>
        </w:rPr>
      </w:pPr>
      <w:bookmarkStart w:id="19" w:name="_Toc12075"/>
      <w:bookmarkStart w:id="20" w:name="_Toc384053578"/>
      <w:r>
        <w:rPr>
          <w:rFonts w:ascii="Times New Roman" w:eastAsia="宋体"/>
          <w:b/>
          <w:bCs/>
        </w:rPr>
        <w:t>清单分析</w:t>
      </w:r>
      <w:bookmarkEnd w:id="19"/>
    </w:p>
    <w:p w14:paraId="2D8875CE">
      <w:pPr>
        <w:pStyle w:val="46"/>
        <w:numPr>
          <w:ilvl w:val="1"/>
          <w:numId w:val="10"/>
        </w:numPr>
        <w:spacing w:before="156" w:after="156" w:line="276" w:lineRule="auto"/>
        <w:outlineLvl w:val="1"/>
        <w:rPr>
          <w:rFonts w:ascii="Times New Roman"/>
        </w:rPr>
      </w:pPr>
      <w:r>
        <w:rPr>
          <w:rFonts w:ascii="Times New Roman"/>
        </w:rPr>
        <w:t>数据的收集和确认</w:t>
      </w:r>
    </w:p>
    <w:p w14:paraId="56EF66D4">
      <w:pPr>
        <w:pStyle w:val="46"/>
        <w:numPr>
          <w:ilvl w:val="2"/>
          <w:numId w:val="10"/>
        </w:numPr>
        <w:spacing w:beforeLines="0" w:afterLines="0" w:line="276" w:lineRule="auto"/>
        <w:ind w:left="0" w:firstLine="0"/>
        <w:jc w:val="both"/>
        <w:outlineLvl w:val="9"/>
        <w:rPr>
          <w:rFonts w:ascii="Times New Roman" w:eastAsia="宋体"/>
        </w:rPr>
      </w:pPr>
      <w:r>
        <w:rPr>
          <w:rFonts w:hint="eastAsia" w:ascii="Times New Roman" w:eastAsia="宋体"/>
        </w:rPr>
        <w:t>数据的收集应符合</w:t>
      </w:r>
      <w:r>
        <w:rPr>
          <w:rFonts w:ascii="Times New Roman" w:eastAsia="宋体"/>
        </w:rPr>
        <w:t>表1</w:t>
      </w:r>
      <w:r>
        <w:rPr>
          <w:rFonts w:hint="eastAsia" w:ascii="Times New Roman" w:eastAsia="宋体"/>
        </w:rPr>
        <w:t>的要求</w:t>
      </w:r>
      <w:r>
        <w:rPr>
          <w:rFonts w:ascii="Times New Roman" w:eastAsia="宋体"/>
        </w:rPr>
        <w:t>。</w:t>
      </w:r>
    </w:p>
    <w:p w14:paraId="1CF84B35">
      <w:pPr>
        <w:pStyle w:val="46"/>
        <w:numPr>
          <w:ilvl w:val="2"/>
          <w:numId w:val="10"/>
        </w:numPr>
        <w:spacing w:beforeLines="0" w:afterLines="0" w:line="276" w:lineRule="auto"/>
        <w:ind w:left="0" w:firstLine="0"/>
        <w:jc w:val="both"/>
        <w:outlineLvl w:val="9"/>
        <w:rPr>
          <w:rFonts w:ascii="Times New Roman" w:eastAsia="宋体"/>
        </w:rPr>
      </w:pPr>
      <w:r>
        <w:rPr>
          <w:rFonts w:ascii="Times New Roman" w:eastAsia="宋体"/>
        </w:rPr>
        <w:t>当开展产品碳足迹研究的组织拥有财务或运营控制权时，应收集现场数据。所收集的数据应具有代表性。对产品碳足迹贡献度不低于</w:t>
      </w:r>
      <w:r>
        <w:rPr>
          <w:rFonts w:hint="eastAsia" w:ascii="Times New Roman" w:eastAsia="宋体"/>
        </w:rPr>
        <w:t>5</w:t>
      </w:r>
      <w:r>
        <w:rPr>
          <w:rFonts w:ascii="Times New Roman" w:eastAsia="宋体"/>
        </w:rPr>
        <w:t>0%的单元过程，即使不在财务或运营控制下，</w:t>
      </w:r>
      <w:r>
        <w:rPr>
          <w:rFonts w:hint="eastAsia" w:ascii="Times New Roman" w:eastAsia="宋体"/>
        </w:rPr>
        <w:t>宜</w:t>
      </w:r>
      <w:r>
        <w:rPr>
          <w:rFonts w:ascii="Times New Roman" w:eastAsia="宋体"/>
        </w:rPr>
        <w:t>使用现场数据。现场数据可按</w:t>
      </w:r>
      <w:r>
        <w:rPr>
          <w:rFonts w:hint="eastAsia" w:ascii="Times New Roman" w:eastAsia="宋体"/>
        </w:rPr>
        <w:t>附录B</w:t>
      </w:r>
      <w:r>
        <w:rPr>
          <w:rFonts w:ascii="Times New Roman" w:eastAsia="宋体"/>
        </w:rPr>
        <w:t>收集。</w:t>
      </w:r>
    </w:p>
    <w:p w14:paraId="51A6C9B9">
      <w:pPr>
        <w:pStyle w:val="46"/>
        <w:numPr>
          <w:ilvl w:val="2"/>
          <w:numId w:val="10"/>
        </w:numPr>
        <w:spacing w:beforeLines="0" w:afterLines="0" w:line="276" w:lineRule="auto"/>
        <w:ind w:left="0" w:firstLine="0"/>
        <w:jc w:val="both"/>
        <w:outlineLvl w:val="9"/>
        <w:rPr>
          <w:rFonts w:ascii="Times New Roman" w:eastAsia="宋体"/>
        </w:rPr>
      </w:pPr>
      <w:r>
        <w:rPr>
          <w:rFonts w:ascii="Times New Roman" w:eastAsia="宋体"/>
        </w:rPr>
        <w:t>非现场数据可使用次级数据，次级数据宜经第三方评审，同时数据格式应满足相关标准要求。次级数据可来源于</w:t>
      </w:r>
      <w:r>
        <w:rPr>
          <w:rFonts w:hint="eastAsia" w:ascii="Times New Roman" w:eastAsia="宋体"/>
        </w:rPr>
        <w:t>国家</w:t>
      </w:r>
      <w:r>
        <w:rPr>
          <w:rFonts w:ascii="Times New Roman" w:eastAsia="宋体"/>
        </w:rPr>
        <w:t>数据库、公开文献或其他具有代表性的数据。可按</w:t>
      </w:r>
      <w:r>
        <w:rPr>
          <w:rFonts w:hint="eastAsia" w:ascii="Times New Roman" w:eastAsia="宋体"/>
        </w:rPr>
        <w:t>附录C</w:t>
      </w:r>
      <w:r>
        <w:rPr>
          <w:rFonts w:ascii="Times New Roman" w:eastAsia="宋体"/>
        </w:rPr>
        <w:t>收集。</w:t>
      </w:r>
    </w:p>
    <w:p w14:paraId="18021BBA">
      <w:pPr>
        <w:pStyle w:val="46"/>
        <w:numPr>
          <w:ilvl w:val="2"/>
          <w:numId w:val="10"/>
        </w:numPr>
        <w:spacing w:beforeLines="0" w:afterLines="0" w:line="276" w:lineRule="auto"/>
        <w:ind w:left="0" w:firstLine="0"/>
        <w:jc w:val="both"/>
        <w:outlineLvl w:val="9"/>
        <w:rPr>
          <w:rFonts w:ascii="Times New Roman" w:eastAsia="宋体"/>
        </w:rPr>
      </w:pPr>
      <w:r>
        <w:rPr>
          <w:rFonts w:ascii="Times New Roman" w:eastAsia="宋体"/>
        </w:rPr>
        <w:t>对数据获得方式和来源应予以说明。</w:t>
      </w:r>
    </w:p>
    <w:p w14:paraId="7F3102BB">
      <w:pPr>
        <w:pStyle w:val="46"/>
        <w:numPr>
          <w:ilvl w:val="255"/>
          <w:numId w:val="0"/>
        </w:numPr>
        <w:spacing w:beforeLines="0" w:afterLines="0" w:line="276" w:lineRule="auto"/>
        <w:jc w:val="center"/>
        <w:outlineLvl w:val="9"/>
        <w:rPr>
          <w:rFonts w:ascii="Times New Roman" w:eastAsia="宋体"/>
        </w:rPr>
      </w:pPr>
      <w:r>
        <w:rPr>
          <w:rFonts w:ascii="Times New Roman" w:eastAsia="宋体"/>
        </w:rPr>
        <w:t>表1 各阶段数据收集</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5998"/>
        <w:gridCol w:w="2507"/>
      </w:tblGrid>
      <w:tr w14:paraId="20DC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462" w:type="dxa"/>
            <w:vAlign w:val="center"/>
          </w:tcPr>
          <w:p w14:paraId="1A118695">
            <w:pPr>
              <w:pStyle w:val="26"/>
              <w:ind w:left="0" w:leftChars="0" w:firstLine="0" w:firstLineChars="0"/>
              <w:jc w:val="center"/>
              <w:rPr>
                <w:rFonts w:hint="default" w:ascii="Times New Roman" w:hAnsi="Times New Roman" w:cs="Times New Roman"/>
                <w:b/>
                <w:bCs/>
                <w:szCs w:val="18"/>
                <w:vertAlign w:val="baseline"/>
                <w:lang w:val="en-US" w:eastAsia="zh-CN"/>
              </w:rPr>
            </w:pPr>
            <w:r>
              <w:rPr>
                <w:rFonts w:hint="default" w:ascii="Times New Roman" w:hAnsi="Times New Roman" w:cs="Times New Roman"/>
                <w:b/>
                <w:bCs/>
                <w:szCs w:val="18"/>
                <w:vertAlign w:val="baseline"/>
                <w:lang w:val="en-US" w:eastAsia="zh-CN"/>
              </w:rPr>
              <w:t>所属阶段</w:t>
            </w:r>
          </w:p>
        </w:tc>
        <w:tc>
          <w:tcPr>
            <w:tcW w:w="5998" w:type="dxa"/>
            <w:vAlign w:val="center"/>
          </w:tcPr>
          <w:p w14:paraId="5C7EBEB4">
            <w:pPr>
              <w:pStyle w:val="26"/>
              <w:ind w:left="0" w:leftChars="0" w:firstLine="0" w:firstLineChars="0"/>
              <w:jc w:val="center"/>
              <w:rPr>
                <w:rFonts w:hint="default" w:ascii="Times New Roman" w:hAnsi="Times New Roman" w:cs="Times New Roman"/>
                <w:b/>
                <w:bCs/>
                <w:szCs w:val="18"/>
                <w:vertAlign w:val="baseline"/>
                <w:lang w:val="en-US" w:eastAsia="zh-CN"/>
              </w:rPr>
            </w:pPr>
            <w:r>
              <w:rPr>
                <w:rFonts w:hint="default" w:ascii="Times New Roman" w:hAnsi="Times New Roman" w:cs="Times New Roman"/>
                <w:b/>
                <w:bCs/>
                <w:szCs w:val="18"/>
                <w:vertAlign w:val="baseline"/>
                <w:lang w:val="en-US" w:eastAsia="zh-CN"/>
              </w:rPr>
              <w:t>数据种类</w:t>
            </w:r>
          </w:p>
        </w:tc>
        <w:tc>
          <w:tcPr>
            <w:tcW w:w="2507" w:type="dxa"/>
            <w:vAlign w:val="center"/>
          </w:tcPr>
          <w:p w14:paraId="7C6D83AB">
            <w:pPr>
              <w:pStyle w:val="26"/>
              <w:ind w:left="0" w:leftChars="0" w:firstLine="0" w:firstLineChars="0"/>
              <w:jc w:val="center"/>
              <w:rPr>
                <w:rFonts w:hint="default" w:ascii="Times New Roman" w:hAnsi="Times New Roman" w:cs="Times New Roman"/>
                <w:b/>
                <w:bCs/>
                <w:szCs w:val="18"/>
                <w:vertAlign w:val="baseline"/>
                <w:lang w:val="en-US" w:eastAsia="zh-CN"/>
              </w:rPr>
            </w:pPr>
            <w:r>
              <w:rPr>
                <w:rFonts w:hint="default" w:ascii="Times New Roman" w:hAnsi="Times New Roman" w:cs="Times New Roman"/>
                <w:b/>
                <w:bCs/>
                <w:szCs w:val="18"/>
                <w:vertAlign w:val="baseline"/>
                <w:lang w:val="en-US" w:eastAsia="zh-CN"/>
              </w:rPr>
              <w:t>数据</w:t>
            </w:r>
          </w:p>
        </w:tc>
      </w:tr>
      <w:tr w14:paraId="57BB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restart"/>
          </w:tcPr>
          <w:p w14:paraId="0DAED402">
            <w:pPr>
              <w:pStyle w:val="26"/>
              <w:ind w:left="0" w:leftChars="0" w:firstLine="0" w:firstLineChars="0"/>
              <w:rPr>
                <w:rFonts w:hint="default" w:ascii="Times New Roman" w:hAnsi="Times New Roman" w:cs="Times New Roman"/>
                <w:szCs w:val="18"/>
                <w:vertAlign w:val="baseline"/>
                <w:lang w:val="en-US" w:eastAsia="zh-CN"/>
              </w:rPr>
            </w:pPr>
            <w:r>
              <w:rPr>
                <w:rFonts w:hint="default" w:ascii="Times New Roman" w:hAnsi="Times New Roman" w:cs="Times New Roman"/>
                <w:szCs w:val="18"/>
                <w:lang w:val="en-US" w:eastAsia="zh-CN"/>
              </w:rPr>
              <w:t>A1：</w:t>
            </w:r>
            <w:r>
              <w:rPr>
                <w:rFonts w:hint="default" w:ascii="Times New Roman" w:hAnsi="Times New Roman" w:eastAsia="宋体" w:cs="Times New Roman"/>
                <w:szCs w:val="18"/>
                <w:lang w:val="en-US" w:eastAsia="zh-CN"/>
              </w:rPr>
              <w:t>原料/能源获取阶段</w:t>
            </w:r>
          </w:p>
        </w:tc>
        <w:tc>
          <w:tcPr>
            <w:tcW w:w="5998" w:type="dxa"/>
          </w:tcPr>
          <w:p w14:paraId="72DAFBF5">
            <w:pPr>
              <w:pStyle w:val="26"/>
              <w:numPr>
                <w:ilvl w:val="0"/>
                <w:numId w:val="13"/>
              </w:numPr>
              <w:tabs>
                <w:tab w:val="center" w:pos="420"/>
              </w:tabs>
              <w:ind w:left="425" w:leftChars="0" w:hanging="425" w:firstLineChars="0"/>
              <w:rPr>
                <w:rFonts w:hint="default" w:ascii="Times New Roman" w:hAnsi="Times New Roman" w:cs="Times New Roman"/>
                <w:szCs w:val="21"/>
                <w:lang w:val="en-US" w:eastAsia="zh-CN"/>
              </w:rPr>
            </w:pPr>
            <w:r>
              <w:rPr>
                <w:rFonts w:hint="default" w:ascii="Times New Roman" w:hAnsi="Times New Roman" w:cs="Times New Roman"/>
                <w:b w:val="0"/>
                <w:szCs w:val="21"/>
                <w:lang w:val="en-US" w:eastAsia="zh-CN"/>
              </w:rPr>
              <w:t>主要原料石灰石的</w:t>
            </w:r>
            <w:r>
              <w:rPr>
                <w:rFonts w:hint="default" w:ascii="Times New Roman" w:hAnsi="Times New Roman" w:eastAsia="宋体" w:cs="Times New Roman"/>
                <w:szCs w:val="21"/>
              </w:rPr>
              <w:t>温室气体排放因子</w:t>
            </w:r>
            <w:r>
              <w:rPr>
                <w:rFonts w:hint="default" w:ascii="Times New Roman" w:hAnsi="Times New Roman" w:cs="Times New Roman"/>
                <w:szCs w:val="21"/>
                <w:lang w:eastAsia="zh-CN"/>
              </w:rPr>
              <w:t>；</w:t>
            </w:r>
          </w:p>
        </w:tc>
        <w:tc>
          <w:tcPr>
            <w:tcW w:w="2507" w:type="dxa"/>
          </w:tcPr>
          <w:p w14:paraId="0034F5AC">
            <w:pPr>
              <w:pStyle w:val="26"/>
              <w:ind w:left="0" w:leftChars="0" w:firstLine="0" w:firstLineChars="0"/>
              <w:rPr>
                <w:rFonts w:hint="default" w:ascii="Times New Roman" w:hAnsi="Times New Roman" w:cs="Times New Roman"/>
                <w:szCs w:val="18"/>
                <w:vertAlign w:val="baseline"/>
                <w:lang w:val="en-US" w:eastAsia="zh-CN"/>
              </w:rPr>
            </w:pPr>
            <w:bookmarkStart w:id="21" w:name="OLE_LINK16"/>
            <w:r>
              <w:rPr>
                <w:rFonts w:hint="eastAsia" w:ascii="Times New Roman" w:cs="Times New Roman"/>
                <w:szCs w:val="18"/>
                <w:vertAlign w:val="baseline"/>
                <w:lang w:val="en-US" w:eastAsia="zh-CN"/>
              </w:rPr>
              <w:t>宜</w:t>
            </w:r>
            <w:r>
              <w:rPr>
                <w:rFonts w:hint="default" w:ascii="Times New Roman" w:hAnsi="Times New Roman" w:cs="Times New Roman"/>
                <w:szCs w:val="18"/>
                <w:vertAlign w:val="baseline"/>
                <w:lang w:val="en-US" w:eastAsia="zh-CN"/>
              </w:rPr>
              <w:t>使用</w:t>
            </w:r>
            <w:bookmarkStart w:id="22" w:name="OLE_LINK15"/>
            <w:r>
              <w:rPr>
                <w:rFonts w:hint="eastAsia" w:ascii="Times New Roman" w:cs="Times New Roman"/>
                <w:szCs w:val="18"/>
                <w:vertAlign w:val="baseline"/>
                <w:lang w:val="en-US" w:eastAsia="zh-CN"/>
              </w:rPr>
              <w:t>现场</w:t>
            </w:r>
            <w:bookmarkEnd w:id="22"/>
            <w:r>
              <w:rPr>
                <w:rFonts w:hint="default" w:ascii="Times New Roman" w:hAnsi="Times New Roman" w:cs="Times New Roman"/>
                <w:szCs w:val="18"/>
                <w:vertAlign w:val="baseline"/>
                <w:lang w:val="en-US" w:eastAsia="zh-CN"/>
              </w:rPr>
              <w:t>数据</w:t>
            </w:r>
            <w:r>
              <w:rPr>
                <w:rFonts w:hint="eastAsia" w:ascii="Times New Roman" w:cs="Times New Roman"/>
                <w:szCs w:val="18"/>
                <w:vertAlign w:val="baseline"/>
                <w:lang w:val="en-US" w:eastAsia="zh-CN"/>
              </w:rPr>
              <w:t>，可使用</w:t>
            </w:r>
            <w:r>
              <w:rPr>
                <w:rFonts w:hint="default" w:ascii="Times New Roman" w:hAnsi="Times New Roman" w:cs="Times New Roman"/>
                <w:szCs w:val="18"/>
                <w:vertAlign w:val="baseline"/>
                <w:lang w:val="en-US" w:eastAsia="zh-CN"/>
              </w:rPr>
              <w:t>次级数据</w:t>
            </w:r>
            <w:bookmarkEnd w:id="21"/>
          </w:p>
        </w:tc>
      </w:tr>
      <w:tr w14:paraId="69FE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1836572A">
            <w:pPr>
              <w:pStyle w:val="26"/>
              <w:ind w:left="0" w:leftChars="0" w:firstLine="0" w:firstLineChars="0"/>
              <w:rPr>
                <w:rFonts w:hint="default" w:ascii="Times New Roman" w:hAnsi="Times New Roman" w:cs="Times New Roman"/>
                <w:szCs w:val="18"/>
                <w:lang w:val="en-US" w:eastAsia="zh-CN"/>
              </w:rPr>
            </w:pPr>
          </w:p>
        </w:tc>
        <w:tc>
          <w:tcPr>
            <w:tcW w:w="5998" w:type="dxa"/>
          </w:tcPr>
          <w:p w14:paraId="59B64BC9">
            <w:pPr>
              <w:pStyle w:val="26"/>
              <w:numPr>
                <w:ilvl w:val="0"/>
                <w:numId w:val="13"/>
              </w:numPr>
              <w:tabs>
                <w:tab w:val="center" w:pos="420"/>
              </w:tabs>
              <w:ind w:left="425" w:leftChars="0" w:hanging="425" w:firstLineChars="0"/>
              <w:rPr>
                <w:rFonts w:hint="default" w:ascii="Times New Roman" w:hAnsi="Times New Roman" w:cs="Times New Roman"/>
                <w:b w:val="0"/>
                <w:szCs w:val="21"/>
                <w:lang w:val="en-US" w:eastAsia="zh-CN"/>
              </w:rPr>
            </w:pPr>
            <w:r>
              <w:rPr>
                <w:rFonts w:hint="default" w:ascii="Times New Roman" w:hAnsi="Times New Roman" w:eastAsia="宋体" w:cs="Times New Roman"/>
                <w:szCs w:val="21"/>
                <w:lang w:val="en-US" w:eastAsia="zh-CN"/>
              </w:rPr>
              <w:t>次要原料</w:t>
            </w:r>
            <w:r>
              <w:rPr>
                <w:rFonts w:hint="default" w:ascii="Times New Roman" w:hAnsi="Times New Roman" w:cs="Times New Roman"/>
                <w:b w:val="0"/>
                <w:szCs w:val="21"/>
                <w:lang w:val="en-US" w:eastAsia="zh-CN"/>
              </w:rPr>
              <w:t>砂岩、粘土、混合材、利废原料</w:t>
            </w:r>
            <w:r>
              <w:rPr>
                <w:rFonts w:hint="eastAsia" w:ascii="Times New Roman" w:cs="Times New Roman"/>
                <w:b w:val="0"/>
                <w:szCs w:val="21"/>
                <w:lang w:val="en-US" w:eastAsia="zh-CN"/>
              </w:rPr>
              <w:t>、</w:t>
            </w:r>
            <w:r>
              <w:rPr>
                <w:rFonts w:hint="eastAsia" w:ascii="Times New Roman" w:cs="Times New Roman"/>
                <w:szCs w:val="21"/>
                <w:lang w:val="en-US" w:eastAsia="zh-CN"/>
              </w:rPr>
              <w:t>包装袋</w:t>
            </w:r>
            <w:r>
              <w:rPr>
                <w:rFonts w:hint="default" w:ascii="Times New Roman" w:hAnsi="Times New Roman" w:eastAsia="宋体" w:cs="Times New Roman"/>
                <w:szCs w:val="21"/>
              </w:rPr>
              <w:t>等的温室气体排放因子</w:t>
            </w:r>
            <w:r>
              <w:rPr>
                <w:rFonts w:hint="default" w:ascii="Times New Roman" w:hAnsi="Times New Roman" w:cs="Times New Roman"/>
                <w:szCs w:val="21"/>
                <w:lang w:eastAsia="zh-CN"/>
              </w:rPr>
              <w:t>；</w:t>
            </w:r>
          </w:p>
        </w:tc>
        <w:tc>
          <w:tcPr>
            <w:tcW w:w="2507" w:type="dxa"/>
          </w:tcPr>
          <w:p w14:paraId="3CFB800E">
            <w:pPr>
              <w:pStyle w:val="26"/>
              <w:ind w:left="0" w:leftChars="0" w:firstLine="0" w:firstLineChars="0"/>
              <w:rPr>
                <w:rFonts w:hint="default" w:ascii="Times New Roman" w:hAnsi="Times New Roman" w:cs="Times New Roman"/>
                <w:szCs w:val="18"/>
                <w:vertAlign w:val="baseline"/>
                <w:lang w:val="en-US" w:eastAsia="zh-CN"/>
              </w:rPr>
            </w:pPr>
            <w:bookmarkStart w:id="23" w:name="OLE_LINK8"/>
            <w:r>
              <w:rPr>
                <w:rFonts w:hint="default" w:ascii="Times New Roman" w:hAnsi="Times New Roman" w:cs="Times New Roman"/>
                <w:szCs w:val="18"/>
                <w:vertAlign w:val="baseline"/>
                <w:lang w:val="en-US" w:eastAsia="zh-CN"/>
              </w:rPr>
              <w:t>可使用次级数据</w:t>
            </w:r>
            <w:bookmarkEnd w:id="23"/>
          </w:p>
        </w:tc>
      </w:tr>
      <w:tr w14:paraId="04A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3F751616">
            <w:pPr>
              <w:pStyle w:val="26"/>
              <w:ind w:left="0" w:leftChars="0" w:firstLine="0" w:firstLineChars="0"/>
              <w:rPr>
                <w:rFonts w:hint="default" w:ascii="Times New Roman" w:hAnsi="Times New Roman" w:cs="Times New Roman"/>
                <w:szCs w:val="18"/>
                <w:lang w:val="en-US" w:eastAsia="zh-CN"/>
              </w:rPr>
            </w:pPr>
          </w:p>
        </w:tc>
        <w:tc>
          <w:tcPr>
            <w:tcW w:w="5998" w:type="dxa"/>
          </w:tcPr>
          <w:p w14:paraId="2ECC21D9">
            <w:pPr>
              <w:pStyle w:val="26"/>
              <w:numPr>
                <w:ilvl w:val="0"/>
                <w:numId w:val="13"/>
              </w:numPr>
              <w:tabs>
                <w:tab w:val="center" w:pos="420"/>
              </w:tabs>
              <w:ind w:left="425" w:leftChars="0" w:hanging="425" w:firstLineChars="0"/>
              <w:rPr>
                <w:rFonts w:hint="default" w:ascii="Times New Roman" w:hAnsi="Times New Roman" w:cs="Times New Roman"/>
                <w:b w:val="0"/>
                <w:szCs w:val="21"/>
                <w:lang w:val="en-US" w:eastAsia="zh-CN"/>
              </w:rPr>
            </w:pPr>
            <w:r>
              <w:rPr>
                <w:rFonts w:hint="default" w:ascii="Times New Roman" w:hAnsi="Times New Roman" w:cs="Times New Roman"/>
                <w:b w:val="0"/>
                <w:szCs w:val="21"/>
                <w:lang w:val="en-US" w:eastAsia="zh-CN"/>
              </w:rPr>
              <w:t>煤、电、柴油、替代燃料等</w:t>
            </w:r>
            <w:r>
              <w:rPr>
                <w:rFonts w:hint="default" w:ascii="Times New Roman" w:hAnsi="Times New Roman" w:eastAsia="宋体" w:cs="Times New Roman"/>
                <w:szCs w:val="21"/>
              </w:rPr>
              <w:t>能源的温室气体排放因子</w:t>
            </w:r>
            <w:r>
              <w:rPr>
                <w:rFonts w:hint="default" w:ascii="Times New Roman" w:hAnsi="Times New Roman" w:eastAsia="宋体" w:cs="Times New Roman"/>
                <w:szCs w:val="21"/>
                <w:lang w:eastAsia="zh-CN"/>
              </w:rPr>
              <w:t>。</w:t>
            </w:r>
          </w:p>
        </w:tc>
        <w:tc>
          <w:tcPr>
            <w:tcW w:w="2507" w:type="dxa"/>
          </w:tcPr>
          <w:p w14:paraId="051B7D70">
            <w:pPr>
              <w:pStyle w:val="26"/>
              <w:ind w:left="0" w:leftChars="0" w:firstLine="0" w:firstLineChars="0"/>
              <w:rPr>
                <w:rFonts w:hint="default" w:ascii="Times New Roman" w:hAnsi="Times New Roman" w:cs="Times New Roman"/>
                <w:szCs w:val="18"/>
                <w:vertAlign w:val="baseline"/>
                <w:lang w:val="en-US" w:eastAsia="zh-CN"/>
              </w:rPr>
            </w:pPr>
            <w:r>
              <w:rPr>
                <w:rFonts w:hint="default" w:ascii="Times New Roman" w:hAnsi="Times New Roman" w:cs="Times New Roman"/>
                <w:szCs w:val="18"/>
                <w:vertAlign w:val="baseline"/>
                <w:lang w:val="en-US" w:eastAsia="zh-CN"/>
              </w:rPr>
              <w:t>可使用次级数据</w:t>
            </w:r>
          </w:p>
        </w:tc>
      </w:tr>
      <w:tr w14:paraId="6B03E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restart"/>
          </w:tcPr>
          <w:p w14:paraId="33AE0C3F">
            <w:pPr>
              <w:pStyle w:val="26"/>
              <w:ind w:left="0" w:leftChars="0" w:firstLine="0" w:firstLineChars="0"/>
              <w:rPr>
                <w:rFonts w:hint="default" w:ascii="Times New Roman" w:hAnsi="Times New Roman" w:cs="Times New Roman"/>
                <w:szCs w:val="18"/>
                <w:vertAlign w:val="baseline"/>
                <w:lang w:val="en-US" w:eastAsia="zh-CN"/>
              </w:rPr>
            </w:pPr>
            <w:r>
              <w:rPr>
                <w:rFonts w:hint="default" w:ascii="Times New Roman" w:hAnsi="Times New Roman" w:cs="Times New Roman"/>
                <w:szCs w:val="18"/>
                <w:vertAlign w:val="baseline"/>
                <w:lang w:val="en-US" w:eastAsia="zh-CN"/>
              </w:rPr>
              <w:t>A2：运输阶段</w:t>
            </w:r>
          </w:p>
        </w:tc>
        <w:tc>
          <w:tcPr>
            <w:tcW w:w="5998" w:type="dxa"/>
          </w:tcPr>
          <w:p w14:paraId="1FAFA797">
            <w:pPr>
              <w:pStyle w:val="26"/>
              <w:numPr>
                <w:ilvl w:val="0"/>
                <w:numId w:val="14"/>
              </w:numPr>
              <w:tabs>
                <w:tab w:val="center" w:pos="420"/>
              </w:tabs>
              <w:ind w:left="425" w:leftChars="0" w:hanging="425" w:firstLineChars="0"/>
              <w:rPr>
                <w:rFonts w:hint="default" w:ascii="Times New Roman" w:hAnsi="Times New Roman" w:cs="Times New Roman"/>
                <w:szCs w:val="18"/>
                <w:vertAlign w:val="baseline"/>
                <w:lang w:val="en-US" w:eastAsia="zh-CN"/>
              </w:rPr>
            </w:pPr>
            <w:bookmarkStart w:id="24" w:name="OLE_LINK3"/>
            <w:r>
              <w:rPr>
                <w:rFonts w:hint="default" w:ascii="Times New Roman" w:hAnsi="Times New Roman" w:eastAsia="宋体" w:cs="Times New Roman"/>
                <w:szCs w:val="21"/>
                <w:lang w:val="en-US" w:eastAsia="zh-CN"/>
              </w:rPr>
              <w:t>原料与能源的运输量、运输距离、运输方式</w:t>
            </w:r>
            <w:bookmarkEnd w:id="24"/>
            <w:r>
              <w:rPr>
                <w:rFonts w:hint="default" w:ascii="Times New Roman" w:hAnsi="Times New Roman" w:cs="Times New Roman"/>
                <w:szCs w:val="21"/>
                <w:lang w:val="en-US" w:eastAsia="zh-CN"/>
              </w:rPr>
              <w:t>；</w:t>
            </w:r>
          </w:p>
        </w:tc>
        <w:tc>
          <w:tcPr>
            <w:tcW w:w="2507" w:type="dxa"/>
          </w:tcPr>
          <w:p w14:paraId="7DAF0B20">
            <w:pPr>
              <w:pStyle w:val="26"/>
              <w:ind w:left="0" w:leftChars="0" w:firstLine="0" w:firstLineChars="0"/>
              <w:rPr>
                <w:rFonts w:hint="default" w:ascii="Times New Roman" w:hAnsi="Times New Roman" w:cs="Times New Roman"/>
                <w:b w:val="0"/>
                <w:szCs w:val="21"/>
                <w:lang w:val="en-US" w:eastAsia="zh-CN"/>
              </w:rPr>
            </w:pPr>
            <w:bookmarkStart w:id="25" w:name="OLE_LINK9"/>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bookmarkEnd w:id="25"/>
            <w:r>
              <w:rPr>
                <w:rFonts w:hint="default" w:ascii="Times New Roman" w:hAnsi="Times New Roman" w:cs="Times New Roman"/>
                <w:b w:val="0"/>
                <w:szCs w:val="21"/>
                <w:lang w:val="en-US" w:eastAsia="zh-CN"/>
              </w:rPr>
              <w:t>；</w:t>
            </w:r>
          </w:p>
        </w:tc>
      </w:tr>
      <w:tr w14:paraId="18CF3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57B71D60">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5053CB40">
            <w:pPr>
              <w:pStyle w:val="26"/>
              <w:numPr>
                <w:ilvl w:val="0"/>
                <w:numId w:val="14"/>
              </w:numPr>
              <w:tabs>
                <w:tab w:val="center" w:pos="420"/>
              </w:tabs>
              <w:ind w:left="425" w:leftChars="0" w:hanging="425" w:firstLineChars="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不同运输方式的温室气体</w:t>
            </w:r>
            <w:r>
              <w:rPr>
                <w:rFonts w:hint="default" w:ascii="Times New Roman" w:hAnsi="Times New Roman" w:eastAsia="宋体" w:cs="Times New Roman"/>
                <w:szCs w:val="21"/>
                <w:lang w:val="en-US" w:eastAsia="zh-CN"/>
              </w:rPr>
              <w:t>排放因子</w:t>
            </w:r>
          </w:p>
        </w:tc>
        <w:tc>
          <w:tcPr>
            <w:tcW w:w="2507" w:type="dxa"/>
          </w:tcPr>
          <w:p w14:paraId="596D4112">
            <w:pPr>
              <w:pStyle w:val="26"/>
              <w:ind w:left="0" w:leftChars="0" w:firstLine="0" w:firstLineChars="0"/>
              <w:rPr>
                <w:rFonts w:hint="default" w:ascii="Times New Roman" w:hAnsi="Times New Roman" w:cs="Times New Roman"/>
                <w:b w:val="0"/>
                <w:szCs w:val="21"/>
                <w:lang w:val="en-US" w:eastAsia="zh-CN"/>
              </w:rPr>
            </w:pPr>
            <w:r>
              <w:rPr>
                <w:rFonts w:hint="default" w:ascii="Times New Roman" w:hAnsi="Times New Roman" w:cs="Times New Roman"/>
                <w:b w:val="0"/>
                <w:szCs w:val="21"/>
                <w:lang w:val="en-US" w:eastAsia="zh-CN"/>
              </w:rPr>
              <w:t>可使用次级数据；</w:t>
            </w:r>
          </w:p>
        </w:tc>
      </w:tr>
      <w:tr w14:paraId="239D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restart"/>
          </w:tcPr>
          <w:p w14:paraId="1D153318">
            <w:pPr>
              <w:pStyle w:val="26"/>
              <w:ind w:left="0" w:leftChars="0" w:firstLine="0" w:firstLineChars="0"/>
              <w:rPr>
                <w:rFonts w:hint="default" w:ascii="Times New Roman" w:hAnsi="Times New Roman" w:cs="Times New Roman"/>
                <w:szCs w:val="18"/>
                <w:vertAlign w:val="baseline"/>
                <w:lang w:val="en-US" w:eastAsia="zh-CN"/>
              </w:rPr>
            </w:pPr>
            <w:r>
              <w:rPr>
                <w:rFonts w:hint="default" w:ascii="Times New Roman" w:hAnsi="Times New Roman" w:cs="Times New Roman"/>
                <w:szCs w:val="18"/>
                <w:vertAlign w:val="baseline"/>
                <w:lang w:val="en-US" w:eastAsia="zh-CN"/>
              </w:rPr>
              <w:t>A3：产生生产阶段</w:t>
            </w:r>
          </w:p>
        </w:tc>
        <w:tc>
          <w:tcPr>
            <w:tcW w:w="5998" w:type="dxa"/>
          </w:tcPr>
          <w:p w14:paraId="3BC0869D">
            <w:pPr>
              <w:pStyle w:val="26"/>
              <w:numPr>
                <w:ilvl w:val="0"/>
                <w:numId w:val="15"/>
              </w:numPr>
              <w:tabs>
                <w:tab w:val="center" w:pos="420"/>
              </w:tabs>
              <w:ind w:left="425" w:leftChars="0" w:hanging="425" w:firstLineChars="0"/>
              <w:rPr>
                <w:rFonts w:hint="default" w:ascii="Times New Roman" w:hAnsi="Times New Roman" w:cs="Times New Roman"/>
                <w:szCs w:val="18"/>
                <w:vertAlign w:val="baseline"/>
                <w:lang w:val="en-US" w:eastAsia="zh-CN"/>
              </w:rPr>
            </w:pPr>
            <w:bookmarkStart w:id="26" w:name="OLE_LINK7"/>
            <w:r>
              <w:rPr>
                <w:rFonts w:hint="default" w:ascii="Times New Roman" w:hAnsi="Times New Roman" w:eastAsia="宋体" w:cs="Times New Roman"/>
                <w:szCs w:val="21"/>
                <w:lang w:val="en-US" w:eastAsia="zh-CN"/>
              </w:rPr>
              <w:t>石灰石、砂岩、粘土、混合材</w:t>
            </w:r>
            <w:r>
              <w:rPr>
                <w:rFonts w:hint="eastAsia" w:ascii="Times New Roman" w:cs="Times New Roman"/>
                <w:szCs w:val="21"/>
                <w:lang w:val="en-US" w:eastAsia="zh-CN"/>
              </w:rPr>
              <w:t>、</w:t>
            </w:r>
            <w:bookmarkStart w:id="27" w:name="OLE_LINK4"/>
            <w:r>
              <w:rPr>
                <w:rFonts w:hint="eastAsia" w:ascii="Times New Roman" w:cs="Times New Roman"/>
                <w:szCs w:val="21"/>
                <w:lang w:val="en-US" w:eastAsia="zh-CN"/>
              </w:rPr>
              <w:t>包装袋</w:t>
            </w:r>
            <w:bookmarkEnd w:id="27"/>
            <w:r>
              <w:rPr>
                <w:rFonts w:hint="default" w:ascii="Times New Roman" w:hAnsi="Times New Roman" w:eastAsia="宋体" w:cs="Times New Roman"/>
                <w:szCs w:val="21"/>
                <w:lang w:val="en-US" w:eastAsia="zh-CN"/>
              </w:rPr>
              <w:t>等主要原料和次要原料的消耗量；</w:t>
            </w:r>
            <w:bookmarkEnd w:id="26"/>
          </w:p>
        </w:tc>
        <w:tc>
          <w:tcPr>
            <w:tcW w:w="2507" w:type="dxa"/>
          </w:tcPr>
          <w:p w14:paraId="54285EA2">
            <w:pPr>
              <w:pStyle w:val="26"/>
              <w:ind w:left="0" w:leftChars="0" w:firstLine="0" w:firstLineChars="0"/>
              <w:rPr>
                <w:rFonts w:hint="default" w:ascii="Times New Roman" w:hAnsi="Times New Roman" w:cs="Times New Roman"/>
                <w:szCs w:val="18"/>
                <w:vertAlign w:val="baseline"/>
                <w:lang w:val="en-US" w:eastAsia="zh-CN"/>
              </w:rPr>
            </w:pPr>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r w14:paraId="5861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4ED0BB73">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296818B1">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eastAsia="宋体" w:cs="Times New Roman"/>
                <w:szCs w:val="21"/>
                <w:lang w:val="en-US" w:eastAsia="zh-CN"/>
              </w:rPr>
              <w:t>煤、电、柴油</w:t>
            </w:r>
            <w:r>
              <w:rPr>
                <w:rFonts w:hint="eastAsia" w:ascii="Times New Roman" w:cs="Times New Roman"/>
                <w:szCs w:val="21"/>
                <w:lang w:val="en-US" w:eastAsia="zh-CN"/>
              </w:rPr>
              <w:t>（固定源和移动源）</w:t>
            </w:r>
            <w:r>
              <w:rPr>
                <w:rFonts w:hint="default" w:ascii="Times New Roman" w:hAnsi="Times New Roman" w:eastAsia="宋体" w:cs="Times New Roman"/>
                <w:szCs w:val="21"/>
                <w:lang w:val="en-US" w:eastAsia="zh-CN"/>
              </w:rPr>
              <w:t>等能源的消耗量</w:t>
            </w:r>
            <w:r>
              <w:rPr>
                <w:rFonts w:hint="eastAsia" w:ascii="Times New Roman" w:cs="Times New Roman"/>
                <w:szCs w:val="21"/>
                <w:lang w:val="en-US" w:eastAsia="zh-CN"/>
              </w:rPr>
              <w:t>；</w:t>
            </w:r>
          </w:p>
        </w:tc>
        <w:tc>
          <w:tcPr>
            <w:tcW w:w="2507" w:type="dxa"/>
          </w:tcPr>
          <w:p w14:paraId="34AF39CD">
            <w:pPr>
              <w:pStyle w:val="26"/>
              <w:ind w:left="0" w:leftChars="0" w:firstLine="0" w:firstLineChars="0"/>
              <w:rPr>
                <w:rFonts w:hint="default" w:ascii="Times New Roman" w:hAnsi="Times New Roman" w:cs="Times New Roman"/>
                <w:position w:val="0"/>
                <w:szCs w:val="18"/>
              </w:rPr>
            </w:pPr>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r w14:paraId="7C90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54C59E96">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5F2C154A">
            <w:pPr>
              <w:pStyle w:val="26"/>
              <w:numPr>
                <w:ilvl w:val="0"/>
                <w:numId w:val="15"/>
              </w:numPr>
              <w:tabs>
                <w:tab w:val="center" w:pos="420"/>
              </w:tabs>
              <w:ind w:left="425" w:leftChars="0" w:hanging="425" w:firstLineChars="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煤、电、柴油等能源的</w:t>
            </w:r>
            <w:r>
              <w:rPr>
                <w:rFonts w:hint="eastAsia" w:ascii="Times New Roman" w:cs="Times New Roman"/>
                <w:szCs w:val="21"/>
                <w:lang w:val="en-US" w:eastAsia="zh-CN"/>
              </w:rPr>
              <w:t>低位发热量；</w:t>
            </w:r>
          </w:p>
        </w:tc>
        <w:tc>
          <w:tcPr>
            <w:tcW w:w="2507" w:type="dxa"/>
          </w:tcPr>
          <w:p w14:paraId="2D72F58D">
            <w:pPr>
              <w:pStyle w:val="26"/>
              <w:ind w:left="0" w:leftChars="0" w:firstLine="0" w:firstLineChars="0"/>
              <w:rPr>
                <w:rFonts w:hint="eastAsia" w:ascii="Times New Roman" w:cs="Times New Roman"/>
                <w:b w:val="0"/>
                <w:szCs w:val="21"/>
                <w:lang w:val="en-US" w:eastAsia="zh-CN"/>
              </w:rPr>
            </w:pPr>
            <w:r>
              <w:rPr>
                <w:rFonts w:hint="eastAsia" w:ascii="Times New Roman" w:cs="Times New Roman"/>
                <w:szCs w:val="18"/>
                <w:vertAlign w:val="baseline"/>
                <w:lang w:val="en-US" w:eastAsia="zh-CN"/>
              </w:rPr>
              <w:t>宜</w:t>
            </w:r>
            <w:r>
              <w:rPr>
                <w:rFonts w:hint="default" w:ascii="Times New Roman" w:hAnsi="Times New Roman" w:cs="Times New Roman"/>
                <w:szCs w:val="18"/>
                <w:vertAlign w:val="baseline"/>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szCs w:val="18"/>
                <w:vertAlign w:val="baseline"/>
                <w:lang w:val="en-US" w:eastAsia="zh-CN"/>
              </w:rPr>
              <w:t>数据</w:t>
            </w:r>
            <w:r>
              <w:rPr>
                <w:rFonts w:hint="eastAsia" w:ascii="Times New Roman" w:cs="Times New Roman"/>
                <w:szCs w:val="18"/>
                <w:vertAlign w:val="baseline"/>
                <w:lang w:val="en-US" w:eastAsia="zh-CN"/>
              </w:rPr>
              <w:t>，可使用</w:t>
            </w:r>
            <w:r>
              <w:rPr>
                <w:rFonts w:hint="default" w:ascii="Times New Roman" w:hAnsi="Times New Roman" w:cs="Times New Roman"/>
                <w:szCs w:val="18"/>
                <w:vertAlign w:val="baseline"/>
                <w:lang w:val="en-US" w:eastAsia="zh-CN"/>
              </w:rPr>
              <w:t>次级数据</w:t>
            </w:r>
          </w:p>
        </w:tc>
      </w:tr>
      <w:tr w14:paraId="35C6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29D2344F">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4ABCD02D">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cs="Times New Roman"/>
                <w:szCs w:val="18"/>
              </w:rPr>
              <w:t>熟料中氧化钙</w:t>
            </w:r>
            <w:r>
              <w:rPr>
                <w:rFonts w:hint="eastAsia" w:ascii="Times New Roman" w:cs="Times New Roman"/>
                <w:szCs w:val="18"/>
                <w:lang w:eastAsia="zh-CN"/>
              </w:rPr>
              <w:t>、</w:t>
            </w:r>
            <w:r>
              <w:rPr>
                <w:rFonts w:hint="eastAsia" w:ascii="Times New Roman" w:cs="Times New Roman"/>
                <w:szCs w:val="18"/>
                <w:lang w:val="en-US" w:eastAsia="zh-CN"/>
              </w:rPr>
              <w:t>氧化镁的含量；</w:t>
            </w:r>
          </w:p>
        </w:tc>
        <w:tc>
          <w:tcPr>
            <w:tcW w:w="2507" w:type="dxa"/>
          </w:tcPr>
          <w:p w14:paraId="2EFF0DFB">
            <w:pPr>
              <w:pStyle w:val="26"/>
              <w:ind w:left="0" w:leftChars="0" w:firstLine="0" w:firstLineChars="0"/>
              <w:rPr>
                <w:rFonts w:hint="default" w:ascii="Times New Roman" w:hAnsi="Times New Roman" w:cs="Times New Roman"/>
                <w:position w:val="0"/>
                <w:szCs w:val="18"/>
              </w:rPr>
            </w:pPr>
            <w:bookmarkStart w:id="28" w:name="OLE_LINK18"/>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bookmarkEnd w:id="28"/>
          </w:p>
        </w:tc>
      </w:tr>
      <w:tr w14:paraId="3B46F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62BDFFA8">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3EB7443E">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cs="Times New Roman"/>
                <w:position w:val="0"/>
                <w:szCs w:val="18"/>
              </w:rPr>
              <w:t>非碳酸盐替代原料中氧化钙</w:t>
            </w:r>
            <w:r>
              <w:rPr>
                <w:rFonts w:hint="eastAsia" w:ascii="Times New Roman" w:cs="Times New Roman"/>
                <w:position w:val="0"/>
                <w:szCs w:val="18"/>
                <w:lang w:val="en-US" w:eastAsia="zh-CN"/>
              </w:rPr>
              <w:t>和氧化镁的含量；</w:t>
            </w:r>
          </w:p>
        </w:tc>
        <w:tc>
          <w:tcPr>
            <w:tcW w:w="2507" w:type="dxa"/>
          </w:tcPr>
          <w:p w14:paraId="087B49C7">
            <w:pPr>
              <w:pStyle w:val="26"/>
              <w:ind w:left="0" w:leftChars="0" w:firstLine="0" w:firstLineChars="0"/>
              <w:rPr>
                <w:rFonts w:hint="default" w:ascii="Times New Roman" w:hAnsi="Times New Roman" w:cs="Times New Roman"/>
                <w:position w:val="0"/>
                <w:szCs w:val="18"/>
              </w:rPr>
            </w:pPr>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r w14:paraId="3254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6F2683A2">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5E190733">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cs="Times New Roman"/>
                <w:szCs w:val="21"/>
              </w:rPr>
              <w:t>替代燃料中非生物质碳的含量</w:t>
            </w:r>
            <w:r>
              <w:rPr>
                <w:rFonts w:hint="eastAsia" w:ascii="Times New Roman" w:cs="Times New Roman"/>
                <w:szCs w:val="21"/>
                <w:lang w:eastAsia="zh-CN"/>
              </w:rPr>
              <w:t>；</w:t>
            </w:r>
          </w:p>
        </w:tc>
        <w:tc>
          <w:tcPr>
            <w:tcW w:w="2507" w:type="dxa"/>
          </w:tcPr>
          <w:p w14:paraId="44577918">
            <w:pPr>
              <w:ind w:left="0" w:leftChars="0" w:firstLine="0" w:firstLineChars="0"/>
              <w:rPr>
                <w:rFonts w:hint="default" w:ascii="Times New Roman" w:hAnsi="Times New Roman" w:cs="Times New Roman"/>
                <w:position w:val="0"/>
              </w:rPr>
            </w:pPr>
            <w:r>
              <w:rPr>
                <w:rFonts w:hint="default" w:ascii="Times New Roman" w:hAnsi="Times New Roman" w:cs="Times New Roman"/>
                <w:b w:val="0"/>
                <w:szCs w:val="21"/>
                <w:lang w:val="en-US" w:eastAsia="zh-CN"/>
              </w:rPr>
              <w:t>可使用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r w14:paraId="7588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61CB67C7">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32C6C201">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cs="Times New Roman"/>
                <w:szCs w:val="21"/>
              </w:rPr>
              <w:t>生料中非燃料碳含量</w:t>
            </w:r>
            <w:r>
              <w:rPr>
                <w:rFonts w:hint="eastAsia" w:ascii="Times New Roman" w:cs="Times New Roman"/>
                <w:szCs w:val="21"/>
                <w:lang w:eastAsia="zh-CN"/>
              </w:rPr>
              <w:t>；</w:t>
            </w:r>
          </w:p>
        </w:tc>
        <w:tc>
          <w:tcPr>
            <w:tcW w:w="2507" w:type="dxa"/>
          </w:tcPr>
          <w:p w14:paraId="5018D3B6">
            <w:pPr>
              <w:ind w:left="0" w:leftChars="0" w:firstLine="0" w:firstLineChars="0"/>
              <w:rPr>
                <w:rFonts w:hint="default" w:ascii="Times New Roman" w:hAnsi="Times New Roman" w:cs="Times New Roman"/>
                <w:position w:val="0"/>
              </w:rPr>
            </w:pPr>
            <w:r>
              <w:rPr>
                <w:rFonts w:hint="default" w:ascii="Times New Roman" w:hAnsi="Times New Roman" w:cs="Times New Roman"/>
                <w:b w:val="0"/>
                <w:szCs w:val="21"/>
                <w:lang w:val="en-US" w:eastAsia="zh-CN"/>
              </w:rPr>
              <w:t>可使用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r w14:paraId="4F6E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2" w:type="dxa"/>
            <w:vMerge w:val="continue"/>
          </w:tcPr>
          <w:p w14:paraId="4D21C305">
            <w:pPr>
              <w:pStyle w:val="26"/>
              <w:ind w:left="0" w:leftChars="0" w:firstLine="0" w:firstLineChars="0"/>
              <w:rPr>
                <w:rFonts w:hint="default" w:ascii="Times New Roman" w:hAnsi="Times New Roman" w:cs="Times New Roman"/>
                <w:szCs w:val="18"/>
                <w:vertAlign w:val="baseline"/>
                <w:lang w:val="en-US" w:eastAsia="zh-CN"/>
              </w:rPr>
            </w:pPr>
          </w:p>
        </w:tc>
        <w:tc>
          <w:tcPr>
            <w:tcW w:w="5998" w:type="dxa"/>
          </w:tcPr>
          <w:p w14:paraId="3725E8C1">
            <w:pPr>
              <w:pStyle w:val="26"/>
              <w:numPr>
                <w:ilvl w:val="0"/>
                <w:numId w:val="15"/>
              </w:numPr>
              <w:tabs>
                <w:tab w:val="center" w:pos="420"/>
              </w:tabs>
              <w:ind w:left="425" w:leftChars="0" w:hanging="425" w:firstLineChars="0"/>
              <w:rPr>
                <w:rFonts w:hint="default" w:ascii="Times New Roman" w:hAnsi="Times New Roman" w:cs="Times New Roman"/>
                <w:szCs w:val="21"/>
              </w:rPr>
            </w:pPr>
            <w:r>
              <w:rPr>
                <w:rFonts w:hint="default" w:ascii="Times New Roman" w:hAnsi="Times New Roman" w:cs="Times New Roman"/>
                <w:szCs w:val="18"/>
                <w:highlight w:val="none"/>
                <w:vertAlign w:val="baseline"/>
                <w:lang w:val="en-US" w:eastAsia="zh-CN"/>
              </w:rPr>
              <w:t>废（污）水及废弃物处理</w:t>
            </w:r>
            <w:r>
              <w:rPr>
                <w:rFonts w:hint="eastAsia" w:ascii="Times New Roman" w:cs="Times New Roman"/>
                <w:szCs w:val="18"/>
                <w:highlight w:val="none"/>
                <w:vertAlign w:val="baseline"/>
                <w:lang w:val="en-US" w:eastAsia="zh-CN"/>
              </w:rPr>
              <w:t>过程的物料消耗量；</w:t>
            </w:r>
          </w:p>
        </w:tc>
        <w:tc>
          <w:tcPr>
            <w:tcW w:w="2507" w:type="dxa"/>
          </w:tcPr>
          <w:p w14:paraId="755315A1">
            <w:pPr>
              <w:ind w:left="0" w:leftChars="0" w:firstLine="0" w:firstLineChars="0"/>
              <w:rPr>
                <w:rFonts w:hint="default" w:ascii="Times New Roman" w:hAnsi="Times New Roman" w:cs="Times New Roman"/>
                <w:b w:val="0"/>
                <w:szCs w:val="21"/>
                <w:lang w:val="en-US" w:eastAsia="zh-CN"/>
              </w:rPr>
            </w:pPr>
            <w:r>
              <w:rPr>
                <w:rFonts w:hint="eastAsia" w:ascii="Times New Roman" w:cs="Times New Roman"/>
                <w:b w:val="0"/>
                <w:szCs w:val="21"/>
                <w:lang w:val="en-US" w:eastAsia="zh-CN"/>
              </w:rPr>
              <w:t>应</w:t>
            </w:r>
            <w:r>
              <w:rPr>
                <w:rFonts w:hint="default" w:ascii="Times New Roman" w:hAnsi="Times New Roman" w:cs="Times New Roman"/>
                <w:b w:val="0"/>
                <w:szCs w:val="21"/>
                <w:lang w:val="en-US" w:eastAsia="zh-CN"/>
              </w:rPr>
              <w:t>使用</w:t>
            </w:r>
            <w:r>
              <w:rPr>
                <w:rFonts w:hint="eastAsia" w:ascii="Times New Roman" w:cs="Times New Roman"/>
                <w:szCs w:val="18"/>
                <w:vertAlign w:val="baseline"/>
                <w:lang w:val="en-US" w:eastAsia="zh-CN"/>
              </w:rPr>
              <w:t>现场</w:t>
            </w:r>
            <w:r>
              <w:rPr>
                <w:rFonts w:hint="default" w:ascii="Times New Roman" w:hAnsi="Times New Roman" w:cs="Times New Roman"/>
                <w:b w:val="0"/>
                <w:szCs w:val="21"/>
                <w:lang w:val="en-US" w:eastAsia="zh-CN"/>
              </w:rPr>
              <w:t>数据</w:t>
            </w:r>
          </w:p>
        </w:tc>
      </w:tr>
    </w:tbl>
    <w:p w14:paraId="35838877">
      <w:pPr>
        <w:pStyle w:val="46"/>
        <w:numPr>
          <w:ilvl w:val="1"/>
          <w:numId w:val="10"/>
        </w:numPr>
        <w:spacing w:before="156" w:after="156" w:line="276" w:lineRule="auto"/>
        <w:outlineLvl w:val="1"/>
        <w:rPr>
          <w:rFonts w:ascii="Times New Roman"/>
        </w:rPr>
      </w:pPr>
      <w:r>
        <w:rPr>
          <w:rFonts w:ascii="Times New Roman"/>
        </w:rPr>
        <w:t>数据质量要求</w:t>
      </w:r>
    </w:p>
    <w:p w14:paraId="4F19914F">
      <w:pPr>
        <w:pStyle w:val="46"/>
        <w:numPr>
          <w:ilvl w:val="2"/>
          <w:numId w:val="10"/>
        </w:numPr>
        <w:spacing w:beforeLines="0" w:afterLines="0" w:line="276" w:lineRule="auto"/>
        <w:ind w:left="0" w:firstLine="0"/>
        <w:outlineLvl w:val="9"/>
        <w:rPr>
          <w:rFonts w:ascii="Times New Roman" w:eastAsia="宋体"/>
        </w:rPr>
      </w:pPr>
      <w:r>
        <w:rPr>
          <w:rFonts w:ascii="Times New Roman" w:eastAsia="宋体"/>
        </w:rPr>
        <w:t>初级数据采集质量应满足以下要求：</w:t>
      </w:r>
    </w:p>
    <w:p w14:paraId="56817AD3">
      <w:pPr>
        <w:pStyle w:val="151"/>
        <w:numPr>
          <w:ilvl w:val="0"/>
          <w:numId w:val="16"/>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完整性。根据数据取舍准则（5.5）的要求，</w:t>
      </w:r>
      <w:r>
        <w:rPr>
          <w:rFonts w:ascii="Times New Roman" w:hAnsi="Times New Roman" w:eastAsia="宋体" w:cs="Times New Roman"/>
        </w:rPr>
        <w:t>检查是否有缺失的单元过程或输入输出物质。</w:t>
      </w:r>
      <w:r>
        <w:rPr>
          <w:rFonts w:ascii="Times New Roman" w:hAnsi="Times New Roman" w:eastAsia="宋体" w:cs="Times New Roman"/>
          <w:szCs w:val="21"/>
        </w:rPr>
        <w:t>初级数据宜采集企业一个自然年内的生产统计数据，特殊情况下可根据企业实际运营情况予以确定</w:t>
      </w:r>
      <w:r>
        <w:rPr>
          <w:rFonts w:ascii="Times New Roman" w:hAnsi="Times New Roman" w:eastAsia="宋体" w:cs="Times New Roman"/>
        </w:rPr>
        <w:t>；</w:t>
      </w:r>
    </w:p>
    <w:p w14:paraId="38059878">
      <w:pPr>
        <w:pStyle w:val="151"/>
        <w:numPr>
          <w:ilvl w:val="0"/>
          <w:numId w:val="16"/>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准确性。初级数据中的能源、原料消耗数据应来自企业实际生产统计记录，能源和原料获取数据优先来自上游供应商；碳排放数据优先选择核查报告，或由排放因子或物料平衡公式计算获得。所有初级数据均应转换为以功能单位为基准，且应详细记录相关的初级数据、数据来源、计算过程等；</w:t>
      </w:r>
    </w:p>
    <w:p w14:paraId="22FA61D9">
      <w:pPr>
        <w:pStyle w:val="151"/>
        <w:numPr>
          <w:ilvl w:val="0"/>
          <w:numId w:val="16"/>
        </w:numPr>
        <w:spacing w:line="276" w:lineRule="auto"/>
        <w:ind w:left="0" w:firstLine="420"/>
        <w:rPr>
          <w:rFonts w:ascii="Times New Roman" w:hAnsi="Times New Roman" w:eastAsia="宋体" w:cs="Times New Roman"/>
          <w:szCs w:val="21"/>
        </w:rPr>
      </w:pPr>
      <w:r>
        <w:rPr>
          <w:rFonts w:ascii="Times New Roman" w:hAnsi="Times New Roman" w:eastAsia="宋体" w:cs="Times New Roman"/>
          <w:szCs w:val="21"/>
        </w:rPr>
        <w:t>一致性。初级数据采集时同类数据应保持相同的数据来源、统计口径、处理规则等。</w:t>
      </w:r>
    </w:p>
    <w:p w14:paraId="3F2DCDFF">
      <w:pPr>
        <w:pStyle w:val="46"/>
        <w:numPr>
          <w:ilvl w:val="2"/>
          <w:numId w:val="10"/>
        </w:numPr>
        <w:spacing w:beforeLines="0" w:afterLines="0" w:line="276" w:lineRule="auto"/>
        <w:ind w:left="0" w:firstLine="0"/>
        <w:outlineLvl w:val="9"/>
        <w:rPr>
          <w:rFonts w:ascii="Times New Roman" w:eastAsia="宋体"/>
        </w:rPr>
      </w:pPr>
      <w:r>
        <w:rPr>
          <w:rFonts w:ascii="Times New Roman" w:eastAsia="宋体"/>
        </w:rPr>
        <w:t>次级数据可按C.2进行数据质量评价。采集质量应满足以下要求：</w:t>
      </w:r>
    </w:p>
    <w:p w14:paraId="658932A3">
      <w:pPr>
        <w:pStyle w:val="151"/>
        <w:numPr>
          <w:ilvl w:val="0"/>
          <w:numId w:val="17"/>
        </w:numPr>
        <w:spacing w:line="276" w:lineRule="auto"/>
        <w:ind w:firstLine="420"/>
        <w:rPr>
          <w:rFonts w:ascii="Times New Roman" w:hAnsi="Times New Roman" w:eastAsia="宋体" w:cs="Times New Roman"/>
          <w:szCs w:val="21"/>
        </w:rPr>
      </w:pPr>
      <w:r>
        <w:rPr>
          <w:rFonts w:ascii="Times New Roman" w:hAnsi="Times New Roman" w:eastAsia="宋体" w:cs="Times New Roman"/>
          <w:szCs w:val="21"/>
        </w:rPr>
        <w:t>代表性。优先选择</w:t>
      </w:r>
      <w:r>
        <w:rPr>
          <w:rFonts w:ascii="Times New Roman" w:hAnsi="Times New Roman" w:eastAsia="宋体" w:cs="Times New Roman"/>
        </w:rPr>
        <w:t>与评估产品系统的时间代表性、区域代表性、技术代表性相近的数据</w:t>
      </w:r>
      <w:r>
        <w:rPr>
          <w:rFonts w:ascii="Times New Roman" w:hAnsi="Times New Roman" w:eastAsia="宋体" w:cs="Times New Roman"/>
          <w:szCs w:val="21"/>
        </w:rPr>
        <w:t>，其次选择近年代表国内及行业平均生产水平公开的生命周期评价数据，最后选择国外同类技术数据；</w:t>
      </w:r>
    </w:p>
    <w:p w14:paraId="3C8EF53F">
      <w:pPr>
        <w:pStyle w:val="151"/>
        <w:numPr>
          <w:ilvl w:val="0"/>
          <w:numId w:val="17"/>
        </w:numPr>
        <w:spacing w:line="276" w:lineRule="auto"/>
        <w:ind w:firstLine="420"/>
        <w:rPr>
          <w:rFonts w:ascii="Times New Roman" w:hAnsi="Times New Roman" w:eastAsia="宋体" w:cs="Times New Roman"/>
          <w:szCs w:val="21"/>
        </w:rPr>
      </w:pPr>
      <w:r>
        <w:rPr>
          <w:rFonts w:ascii="Times New Roman" w:hAnsi="Times New Roman" w:eastAsia="宋体" w:cs="Times New Roman"/>
          <w:szCs w:val="21"/>
        </w:rPr>
        <w:t>完整性。应涵盖系统边界规定的所有单元过程；</w:t>
      </w:r>
    </w:p>
    <w:p w14:paraId="0CC5BBF9">
      <w:pPr>
        <w:pStyle w:val="151"/>
        <w:numPr>
          <w:ilvl w:val="0"/>
          <w:numId w:val="17"/>
        </w:numPr>
        <w:spacing w:line="276" w:lineRule="auto"/>
        <w:ind w:firstLine="420"/>
        <w:rPr>
          <w:rFonts w:ascii="Times New Roman" w:hAnsi="Times New Roman" w:eastAsia="宋体" w:cs="Times New Roman"/>
          <w:szCs w:val="21"/>
        </w:rPr>
      </w:pPr>
      <w:r>
        <w:rPr>
          <w:rFonts w:ascii="Times New Roman" w:hAnsi="Times New Roman" w:eastAsia="宋体" w:cs="Times New Roman"/>
          <w:szCs w:val="21"/>
        </w:rPr>
        <w:t>一致性。同一机构对同类产品次级数据的选择应保持一致。</w:t>
      </w:r>
    </w:p>
    <w:p w14:paraId="393F7118">
      <w:pPr>
        <w:pStyle w:val="46"/>
        <w:numPr>
          <w:ilvl w:val="1"/>
          <w:numId w:val="10"/>
        </w:numPr>
        <w:spacing w:before="156" w:after="156" w:line="276" w:lineRule="auto"/>
        <w:outlineLvl w:val="1"/>
        <w:rPr>
          <w:rFonts w:ascii="Times New Roman"/>
        </w:rPr>
      </w:pPr>
      <w:r>
        <w:rPr>
          <w:rFonts w:ascii="Times New Roman"/>
        </w:rPr>
        <w:t>数据审定</w:t>
      </w:r>
    </w:p>
    <w:p w14:paraId="08BEB105">
      <w:pPr>
        <w:pStyle w:val="26"/>
        <w:spacing w:line="276" w:lineRule="auto"/>
        <w:rPr>
          <w:rFonts w:ascii="Times New Roman"/>
          <w:szCs w:val="21"/>
        </w:rPr>
      </w:pPr>
      <w:r>
        <w:rPr>
          <w:rFonts w:ascii="Times New Roman"/>
        </w:rPr>
        <w:t>数据采集过程中，应验证数据的有效性，</w:t>
      </w:r>
      <w:r>
        <w:rPr>
          <w:rFonts w:ascii="Times New Roman"/>
          <w:szCs w:val="21"/>
        </w:rPr>
        <w:t>通过物料平衡、能量平衡、与历史数据和相近工艺数据对比等方式，确认数据的准确性与合理性。对于异常数据，应分析原因，予以替换，替换的数据应满足数据质量要求（6.2）。</w:t>
      </w:r>
    </w:p>
    <w:p w14:paraId="29EBB704">
      <w:pPr>
        <w:pStyle w:val="46"/>
        <w:numPr>
          <w:ilvl w:val="1"/>
          <w:numId w:val="10"/>
        </w:numPr>
        <w:spacing w:before="156" w:after="156" w:line="276" w:lineRule="auto"/>
        <w:outlineLvl w:val="1"/>
        <w:rPr>
          <w:rFonts w:ascii="Times New Roman"/>
        </w:rPr>
      </w:pPr>
      <w:r>
        <w:rPr>
          <w:rFonts w:ascii="Times New Roman"/>
        </w:rPr>
        <w:t>分配</w:t>
      </w:r>
    </w:p>
    <w:p w14:paraId="01FBFABA">
      <w:pPr>
        <w:pStyle w:val="46"/>
        <w:numPr>
          <w:ilvl w:val="2"/>
          <w:numId w:val="10"/>
        </w:numPr>
        <w:spacing w:beforeLines="0" w:afterLines="0" w:line="276" w:lineRule="auto"/>
        <w:ind w:left="0" w:firstLine="0"/>
        <w:outlineLvl w:val="9"/>
        <w:rPr>
          <w:rFonts w:ascii="Times New Roman" w:eastAsia="宋体"/>
        </w:rPr>
      </w:pPr>
      <w:r>
        <w:rPr>
          <w:rFonts w:ascii="Times New Roman" w:eastAsia="宋体"/>
        </w:rPr>
        <w:t>在系统边界设置或数据采集时，若发现至少有一个单元过程的输入和输出包含多个产品，则需要进行分配。</w:t>
      </w:r>
    </w:p>
    <w:p w14:paraId="376FDD35">
      <w:pPr>
        <w:pStyle w:val="46"/>
        <w:numPr>
          <w:ilvl w:val="2"/>
          <w:numId w:val="10"/>
        </w:numPr>
        <w:spacing w:beforeLines="0" w:afterLines="0" w:line="276" w:lineRule="auto"/>
        <w:ind w:left="0" w:firstLine="0"/>
        <w:outlineLvl w:val="9"/>
        <w:rPr>
          <w:rFonts w:ascii="Times New Roman" w:eastAsia="宋体"/>
        </w:rPr>
      </w:pPr>
      <w:r>
        <w:rPr>
          <w:rFonts w:ascii="Times New Roman" w:eastAsia="宋体"/>
        </w:rPr>
        <w:t>分配的原则如下：</w:t>
      </w:r>
    </w:p>
    <w:p w14:paraId="61492234">
      <w:pPr>
        <w:pStyle w:val="151"/>
        <w:numPr>
          <w:ilvl w:val="0"/>
          <w:numId w:val="18"/>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优先通过细分单元过程避免数据分配；</w:t>
      </w:r>
    </w:p>
    <w:p w14:paraId="050699DD">
      <w:pPr>
        <w:pStyle w:val="151"/>
        <w:numPr>
          <w:ilvl w:val="0"/>
          <w:numId w:val="18"/>
        </w:numPr>
        <w:spacing w:line="276" w:lineRule="auto"/>
        <w:ind w:firstLineChars="0"/>
        <w:rPr>
          <w:rFonts w:ascii="Times New Roman" w:hAnsi="Times New Roman" w:eastAsia="宋体" w:cs="Times New Roman"/>
          <w:szCs w:val="21"/>
        </w:rPr>
      </w:pPr>
      <w:r>
        <w:rPr>
          <w:rFonts w:hint="eastAsia" w:ascii="Times New Roman" w:hAnsi="Times New Roman" w:eastAsia="宋体" w:cs="Times New Roman"/>
          <w:szCs w:val="21"/>
        </w:rPr>
        <w:t>若数据分配无法避免，则应使用物理关系参数（如产量等）进行分配</w:t>
      </w:r>
      <w:r>
        <w:rPr>
          <w:rFonts w:ascii="Times New Roman" w:hAnsi="Times New Roman" w:eastAsia="宋体" w:cs="Times New Roman"/>
          <w:szCs w:val="21"/>
        </w:rPr>
        <w:t>；</w:t>
      </w:r>
    </w:p>
    <w:p w14:paraId="79AC06BC">
      <w:pPr>
        <w:pStyle w:val="151"/>
        <w:numPr>
          <w:ilvl w:val="0"/>
          <w:numId w:val="18"/>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若质量分配法不可行，则可采用经济价值分配法；</w:t>
      </w:r>
    </w:p>
    <w:p w14:paraId="04657C45">
      <w:pPr>
        <w:pStyle w:val="151"/>
        <w:numPr>
          <w:ilvl w:val="0"/>
          <w:numId w:val="18"/>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对于闭环里循环使用的共生产品，不需要分配；</w:t>
      </w:r>
    </w:p>
    <w:p w14:paraId="247DD7DD">
      <w:pPr>
        <w:pStyle w:val="151"/>
        <w:numPr>
          <w:ilvl w:val="0"/>
          <w:numId w:val="18"/>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评价过程中涉及分配方法应在</w:t>
      </w:r>
      <w:r>
        <w:rPr>
          <w:rFonts w:ascii="Times New Roman" w:hAnsi="Times New Roman" w:eastAsia="宋体" w:cs="Times New Roman"/>
        </w:rPr>
        <w:t>产品碳足迹报告</w:t>
      </w:r>
      <w:r>
        <w:rPr>
          <w:rFonts w:ascii="Times New Roman" w:hAnsi="Times New Roman" w:eastAsia="宋体" w:cs="Times New Roman"/>
          <w:szCs w:val="21"/>
        </w:rPr>
        <w:t>中予以明确说明。</w:t>
      </w:r>
    </w:p>
    <w:p w14:paraId="59B25D9E">
      <w:pPr>
        <w:pStyle w:val="49"/>
        <w:numPr>
          <w:ilvl w:val="0"/>
          <w:numId w:val="10"/>
        </w:numPr>
        <w:spacing w:before="156" w:beforeLines="50" w:afterLines="0" w:line="276" w:lineRule="auto"/>
        <w:outlineLvl w:val="0"/>
        <w:rPr>
          <w:rFonts w:ascii="Times New Roman" w:eastAsia="宋体"/>
          <w:b/>
          <w:bCs/>
        </w:rPr>
      </w:pPr>
      <w:bookmarkStart w:id="29" w:name="_Toc25594"/>
      <w:r>
        <w:rPr>
          <w:rFonts w:ascii="Times New Roman" w:eastAsia="宋体"/>
          <w:b/>
          <w:bCs/>
        </w:rPr>
        <w:t>影响评价</w:t>
      </w:r>
      <w:bookmarkEnd w:id="29"/>
    </w:p>
    <w:p w14:paraId="753163B1">
      <w:pPr>
        <w:pStyle w:val="46"/>
        <w:numPr>
          <w:ilvl w:val="1"/>
          <w:numId w:val="10"/>
        </w:numPr>
        <w:spacing w:before="156" w:after="156" w:line="276" w:lineRule="auto"/>
        <w:outlineLvl w:val="1"/>
        <w:rPr>
          <w:rFonts w:ascii="Times New Roman"/>
        </w:rPr>
      </w:pPr>
      <w:r>
        <w:rPr>
          <w:rFonts w:ascii="Times New Roman"/>
        </w:rPr>
        <w:t>计算方法</w:t>
      </w:r>
    </w:p>
    <w:p w14:paraId="3416465A">
      <w:pPr>
        <w:pStyle w:val="46"/>
        <w:numPr>
          <w:ilvl w:val="2"/>
          <w:numId w:val="10"/>
        </w:numPr>
        <w:spacing w:beforeLines="0" w:afterLines="0" w:line="276" w:lineRule="auto"/>
        <w:ind w:left="0" w:firstLine="0"/>
        <w:outlineLvl w:val="9"/>
        <w:rPr>
          <w:rFonts w:ascii="Times New Roman" w:eastAsia="宋体"/>
        </w:rPr>
      </w:pPr>
      <w:r>
        <w:rPr>
          <w:rFonts w:ascii="Times New Roman" w:eastAsia="宋体"/>
        </w:rPr>
        <w:t>在数据收集与确认完成后，将现场数据和非现场数据折算为统一的功能单位，进行产品碳足迹核算，计算公式见式（1）：</w:t>
      </w:r>
    </w:p>
    <w:p w14:paraId="22C6D04C">
      <w:pPr>
        <w:pStyle w:val="26"/>
        <w:spacing w:line="276" w:lineRule="auto"/>
        <w:ind w:firstLine="0" w:firstLineChars="0"/>
        <w:jc w:val="right"/>
        <w:rPr>
          <w:rFonts w:ascii="Times New Roman"/>
          <w:szCs w:val="21"/>
        </w:rPr>
      </w:pPr>
      <m:oMath>
        <m:sSub>
          <m:sSubPr>
            <m:ctrlPr>
              <w:rPr>
                <w:rFonts w:ascii="Cambria Math" w:hAnsi="Cambria Math"/>
                <w:i/>
                <w:szCs w:val="21"/>
              </w:rPr>
            </m:ctrlPr>
          </m:sSubPr>
          <m:e>
            <m:r>
              <m:rPr/>
              <w:rPr>
                <w:rFonts w:ascii="Cambria Math" w:hAnsi="Cambria Math"/>
                <w:szCs w:val="21"/>
              </w:rPr>
              <m:t>CFP</m:t>
            </m:r>
            <m:ctrlPr>
              <w:rPr>
                <w:rFonts w:ascii="Cambria Math" w:hAnsi="Cambria Math"/>
                <w:i/>
                <w:szCs w:val="21"/>
              </w:rPr>
            </m:ctrlPr>
          </m:e>
          <m:sub>
            <m:r>
              <m:rPr/>
              <w:rPr>
                <w:rFonts w:ascii="Cambria Math" w:hAnsi="Cambria Math"/>
                <w:szCs w:val="21"/>
              </w:rPr>
              <m:t>GHG</m:t>
            </m:r>
            <m:ctrlPr>
              <w:rPr>
                <w:rFonts w:ascii="Cambria Math" w:hAnsi="Cambria Math"/>
                <w:i/>
                <w:szCs w:val="21"/>
              </w:rPr>
            </m:ctrlPr>
          </m:sub>
        </m:sSub>
        <m:r>
          <m:rPr/>
          <w:rPr>
            <w:rFonts w:ascii="Cambria Math" w:hAnsi="Cambria Math"/>
            <w:szCs w:val="21"/>
          </w:rPr>
          <m:t>=</m:t>
        </m:r>
        <m:nary>
          <m:naryPr>
            <m:chr m:val="∑"/>
            <m:limLoc m:val="undOvr"/>
            <m:supHide m:val="1"/>
            <m:ctrlPr>
              <w:rPr>
                <w:rFonts w:ascii="Cambria Math" w:hAnsi="Cambria Math"/>
                <w:i/>
                <w:szCs w:val="21"/>
              </w:rPr>
            </m:ctrlPr>
          </m:naryPr>
          <m:sub>
            <m:r>
              <m:rPr/>
              <w:rPr>
                <w:rFonts w:ascii="Cambria Math" w:hAnsi="Cambria Math"/>
                <w:szCs w:val="21"/>
              </w:rPr>
              <m:t>i</m:t>
            </m:r>
            <m:ctrlPr>
              <w:rPr>
                <w:rFonts w:ascii="Cambria Math" w:hAnsi="Cambria Math"/>
                <w:i/>
                <w:szCs w:val="21"/>
              </w:rPr>
            </m:ctrlPr>
          </m:sub>
          <m:sup>
            <m:ctrlPr>
              <w:rPr>
                <w:rFonts w:ascii="Cambria Math" w:hAnsi="Cambria Math"/>
                <w:i/>
                <w:szCs w:val="21"/>
              </w:rPr>
            </m:ctrlPr>
          </m:sup>
          <m:e>
            <m:r>
              <m:rPr>
                <m:sty m:val="p"/>
              </m:rPr>
              <w:rPr>
                <w:rFonts w:ascii="Cambria Math" w:hAnsi="Cambria Math"/>
                <w:szCs w:val="21"/>
              </w:rPr>
              <m:t>（</m:t>
            </m:r>
            <m:sSub>
              <m:sSubPr>
                <m:ctrlPr>
                  <w:rPr>
                    <w:rFonts w:ascii="Cambria Math" w:hAnsi="Cambria Math"/>
                    <w:i/>
                    <w:szCs w:val="21"/>
                  </w:rPr>
                </m:ctrlPr>
              </m:sSubPr>
              <m:e>
                <m:r>
                  <m:rPr/>
                  <w:rPr>
                    <w:rFonts w:ascii="Cambria Math" w:hAnsi="Cambria Math"/>
                    <w:szCs w:val="21"/>
                  </w:rPr>
                  <m:t>GWP</m:t>
                </m:r>
                <m:ctrlPr>
                  <w:rPr>
                    <w:rFonts w:ascii="Cambria Math" w:hAnsi="Cambria Math"/>
                    <w:i/>
                    <w:szCs w:val="21"/>
                  </w:rPr>
                </m:ctrlPr>
              </m:e>
              <m:sub>
                <m:r>
                  <m:rPr/>
                  <w:rPr>
                    <w:rFonts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CFP</m:t>
                </m:r>
                <m:ctrlPr>
                  <w:rPr>
                    <w:rFonts w:ascii="Cambria Math" w:hAnsi="Cambria Math"/>
                    <w:i/>
                    <w:szCs w:val="21"/>
                  </w:rPr>
                </m:ctrlPr>
              </m:e>
              <m:sub>
                <m:r>
                  <m:rPr/>
                  <w:rPr>
                    <w:rFonts w:ascii="Cambria Math" w:hAnsi="Cambria Math"/>
                    <w:szCs w:val="21"/>
                  </w:rPr>
                  <m:t>i</m:t>
                </m:r>
                <m:ctrlPr>
                  <w:rPr>
                    <w:rFonts w:ascii="Cambria Math" w:hAnsi="Cambria Math"/>
                    <w:i/>
                    <w:szCs w:val="21"/>
                  </w:rPr>
                </m:ctrlPr>
              </m:sub>
            </m:sSub>
            <m:r>
              <m:rPr>
                <m:sty m:val="p"/>
              </m:rPr>
              <w:rPr>
                <w:rFonts w:ascii="Cambria Math" w:hAnsi="Cambria Math"/>
                <w:szCs w:val="21"/>
              </w:rPr>
              <m:t>）</m:t>
            </m:r>
            <m:ctrlPr>
              <w:rPr>
                <w:rFonts w:ascii="Cambria Math" w:hAnsi="Cambria Math"/>
                <w:i/>
                <w:szCs w:val="21"/>
              </w:rPr>
            </m:ctrlPr>
          </m:e>
        </m:nary>
      </m:oMath>
      <w:r>
        <w:rPr>
          <w:rFonts w:ascii="Times New Roman"/>
          <w:szCs w:val="21"/>
        </w:rPr>
        <w:t xml:space="preserve">                                                      （1）</w:t>
      </w:r>
    </w:p>
    <w:p w14:paraId="50A224AB">
      <w:pPr>
        <w:pStyle w:val="26"/>
        <w:spacing w:line="276" w:lineRule="auto"/>
        <w:jc w:val="left"/>
        <w:rPr>
          <w:rFonts w:ascii="Times New Roman"/>
          <w:szCs w:val="21"/>
        </w:rPr>
      </w:pPr>
      <w:r>
        <w:rPr>
          <w:rFonts w:ascii="Times New Roman"/>
          <w:szCs w:val="21"/>
        </w:rPr>
        <w:t>式中：</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7"/>
        <w:gridCol w:w="687"/>
        <w:gridCol w:w="8223"/>
      </w:tblGrid>
      <w:tr w14:paraId="5E1F5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49D0AF5B">
            <w:pPr>
              <w:pStyle w:val="26"/>
              <w:spacing w:line="276" w:lineRule="auto"/>
              <w:ind w:firstLine="0" w:firstLineChars="0"/>
              <w:jc w:val="right"/>
              <w:rPr>
                <w:rFonts w:ascii="Times New Roman"/>
                <w:i/>
                <w:iCs/>
                <w:szCs w:val="18"/>
              </w:rPr>
            </w:pPr>
            <w:r>
              <w:rPr>
                <w:rFonts w:hint="eastAsia" w:ascii="Times New Roman"/>
                <w:i/>
                <w:iCs/>
                <w:szCs w:val="18"/>
              </w:rPr>
              <w:t>CFP</w:t>
            </w:r>
            <w:r>
              <w:rPr>
                <w:rFonts w:hint="eastAsia" w:ascii="Times New Roman"/>
                <w:i/>
                <w:iCs/>
                <w:szCs w:val="18"/>
                <w:vertAlign w:val="subscript"/>
              </w:rPr>
              <w:t>GHG</w:t>
            </w:r>
          </w:p>
        </w:tc>
        <w:tc>
          <w:tcPr>
            <w:tcW w:w="687" w:type="dxa"/>
          </w:tcPr>
          <w:p w14:paraId="23AB92A1">
            <w:pPr>
              <w:pStyle w:val="26"/>
              <w:spacing w:line="276" w:lineRule="auto"/>
              <w:ind w:firstLine="0" w:firstLineChars="0"/>
              <w:rPr>
                <w:rFonts w:ascii="Times New Roman"/>
                <w:szCs w:val="18"/>
              </w:rPr>
            </w:pPr>
            <w:r>
              <w:rPr>
                <w:rFonts w:ascii="Times New Roman"/>
                <w:szCs w:val="21"/>
              </w:rPr>
              <w:t>——</w:t>
            </w:r>
          </w:p>
        </w:tc>
        <w:tc>
          <w:tcPr>
            <w:tcW w:w="8223" w:type="dxa"/>
          </w:tcPr>
          <w:p w14:paraId="075957D1">
            <w:pPr>
              <w:pStyle w:val="26"/>
              <w:spacing w:line="276" w:lineRule="auto"/>
              <w:ind w:firstLine="0" w:firstLineChars="0"/>
              <w:rPr>
                <w:rFonts w:ascii="Times New Roman"/>
                <w:szCs w:val="18"/>
              </w:rPr>
            </w:pPr>
            <w:r>
              <w:rPr>
                <w:rFonts w:ascii="Times New Roman"/>
                <w:szCs w:val="21"/>
              </w:rPr>
              <w:t>产品碳足迹，单位为千克二氧化碳当量每声明单位（kg CO</w:t>
            </w:r>
            <w:r>
              <w:rPr>
                <w:rFonts w:ascii="Times New Roman"/>
                <w:szCs w:val="21"/>
                <w:vertAlign w:val="subscript"/>
              </w:rPr>
              <w:t>2</w:t>
            </w:r>
            <w:r>
              <w:rPr>
                <w:rFonts w:ascii="Times New Roman"/>
                <w:szCs w:val="21"/>
              </w:rPr>
              <w:t xml:space="preserve"> e/声明单位）；</w:t>
            </w:r>
          </w:p>
        </w:tc>
      </w:tr>
      <w:tr w14:paraId="044C5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2BF87C64">
            <w:pPr>
              <w:pStyle w:val="26"/>
              <w:spacing w:line="276" w:lineRule="auto"/>
              <w:ind w:firstLine="0" w:firstLineChars="0"/>
              <w:jc w:val="right"/>
              <w:rPr>
                <w:rFonts w:ascii="Times New Roman"/>
                <w:i/>
                <w:iCs/>
                <w:szCs w:val="18"/>
              </w:rPr>
            </w:pPr>
            <w:r>
              <w:rPr>
                <w:rFonts w:ascii="Times New Roman"/>
                <w:i/>
                <w:iCs/>
                <w:szCs w:val="21"/>
              </w:rPr>
              <w:t>C</w:t>
            </w:r>
            <w:r>
              <w:rPr>
                <w:rFonts w:hint="eastAsia" w:ascii="Times New Roman"/>
                <w:i/>
                <w:iCs/>
                <w:szCs w:val="21"/>
              </w:rPr>
              <w:t>FP</w:t>
            </w:r>
            <w:r>
              <w:rPr>
                <w:rFonts w:ascii="Times New Roman"/>
                <w:i/>
                <w:iCs/>
                <w:szCs w:val="21"/>
                <w:vertAlign w:val="subscript"/>
              </w:rPr>
              <w:t>i</w:t>
            </w:r>
          </w:p>
        </w:tc>
        <w:tc>
          <w:tcPr>
            <w:tcW w:w="687" w:type="dxa"/>
          </w:tcPr>
          <w:p w14:paraId="288BE209">
            <w:pPr>
              <w:pStyle w:val="26"/>
              <w:spacing w:line="276" w:lineRule="auto"/>
              <w:ind w:firstLine="0" w:firstLineChars="0"/>
              <w:rPr>
                <w:rFonts w:ascii="Times New Roman"/>
                <w:szCs w:val="18"/>
              </w:rPr>
            </w:pPr>
            <w:r>
              <w:rPr>
                <w:rFonts w:ascii="Times New Roman"/>
                <w:szCs w:val="21"/>
              </w:rPr>
              <w:t>——</w:t>
            </w:r>
          </w:p>
        </w:tc>
        <w:tc>
          <w:tcPr>
            <w:tcW w:w="8223" w:type="dxa"/>
          </w:tcPr>
          <w:p w14:paraId="74E41B0B">
            <w:pPr>
              <w:pStyle w:val="26"/>
              <w:spacing w:line="276" w:lineRule="auto"/>
              <w:ind w:firstLine="0" w:firstLineChars="0"/>
              <w:rPr>
                <w:rFonts w:ascii="Times New Roman"/>
                <w:szCs w:val="18"/>
              </w:rPr>
            </w:pPr>
            <w:r>
              <w:rPr>
                <w:rFonts w:ascii="Times New Roman"/>
                <w:szCs w:val="21"/>
              </w:rPr>
              <w:t>每</w:t>
            </w:r>
            <w:r>
              <w:rPr>
                <w:rFonts w:hint="eastAsia" w:ascii="Times New Roman"/>
                <w:szCs w:val="21"/>
              </w:rPr>
              <w:t>声明单位</w:t>
            </w:r>
            <w:r>
              <w:rPr>
                <w:rFonts w:hint="eastAsia" w:ascii="Times New Roman"/>
                <w:szCs w:val="21"/>
                <w:lang w:val="en-US" w:eastAsia="zh-CN"/>
              </w:rPr>
              <w:t>生产阶段</w:t>
            </w:r>
            <w:r>
              <w:rPr>
                <w:rFonts w:ascii="Times New Roman"/>
                <w:szCs w:val="21"/>
              </w:rPr>
              <w:t>第</w:t>
            </w:r>
            <w:r>
              <w:rPr>
                <w:rFonts w:ascii="Times New Roman"/>
                <w:i/>
                <w:iCs/>
                <w:szCs w:val="21"/>
              </w:rPr>
              <w:t>i</w:t>
            </w:r>
            <w:r>
              <w:rPr>
                <w:rFonts w:ascii="Times New Roman"/>
                <w:szCs w:val="21"/>
              </w:rPr>
              <w:t>类温室气体排放总量，单位为</w:t>
            </w:r>
            <w:r>
              <w:rPr>
                <w:rFonts w:ascii="Times New Roman"/>
                <w:szCs w:val="18"/>
              </w:rPr>
              <w:t>千克（kg），计算方法见式（2）；</w:t>
            </w:r>
          </w:p>
        </w:tc>
      </w:tr>
      <w:tr w14:paraId="5B359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057" w:type="dxa"/>
          </w:tcPr>
          <w:p w14:paraId="3057FC02">
            <w:pPr>
              <w:pStyle w:val="26"/>
              <w:spacing w:line="276" w:lineRule="auto"/>
              <w:ind w:firstLine="0" w:firstLineChars="0"/>
              <w:jc w:val="right"/>
              <w:rPr>
                <w:rFonts w:ascii="Times New Roman"/>
                <w:i/>
                <w:iCs/>
                <w:szCs w:val="18"/>
              </w:rPr>
            </w:pPr>
            <w:r>
              <w:rPr>
                <w:rFonts w:ascii="Times New Roman"/>
                <w:i/>
                <w:szCs w:val="21"/>
              </w:rPr>
              <w:t>GWP</w:t>
            </w:r>
            <w:r>
              <w:rPr>
                <w:rFonts w:ascii="Times New Roman"/>
                <w:i/>
                <w:szCs w:val="21"/>
                <w:vertAlign w:val="subscript"/>
              </w:rPr>
              <w:t>i</w:t>
            </w:r>
          </w:p>
        </w:tc>
        <w:tc>
          <w:tcPr>
            <w:tcW w:w="687" w:type="dxa"/>
          </w:tcPr>
          <w:p w14:paraId="65C195C0">
            <w:pPr>
              <w:pStyle w:val="26"/>
              <w:spacing w:line="276" w:lineRule="auto"/>
              <w:ind w:firstLine="0" w:firstLineChars="0"/>
              <w:rPr>
                <w:rFonts w:ascii="Times New Roman"/>
                <w:szCs w:val="18"/>
              </w:rPr>
            </w:pPr>
            <w:r>
              <w:rPr>
                <w:rFonts w:ascii="Times New Roman"/>
                <w:szCs w:val="21"/>
              </w:rPr>
              <w:t>——</w:t>
            </w:r>
          </w:p>
        </w:tc>
        <w:tc>
          <w:tcPr>
            <w:tcW w:w="8223" w:type="dxa"/>
          </w:tcPr>
          <w:p w14:paraId="7ACC0A52">
            <w:pPr>
              <w:pStyle w:val="26"/>
              <w:spacing w:line="276" w:lineRule="auto"/>
              <w:ind w:firstLine="0" w:firstLineChars="0"/>
              <w:rPr>
                <w:rFonts w:ascii="Times New Roman"/>
                <w:szCs w:val="21"/>
              </w:rPr>
            </w:pPr>
            <w:r>
              <w:rPr>
                <w:rFonts w:ascii="Times New Roman"/>
                <w:szCs w:val="21"/>
              </w:rPr>
              <w:t>第</w:t>
            </w:r>
            <w:r>
              <w:rPr>
                <w:rFonts w:ascii="Times New Roman"/>
                <w:i/>
                <w:iCs/>
                <w:szCs w:val="21"/>
              </w:rPr>
              <w:t>i</w:t>
            </w:r>
            <w:r>
              <w:rPr>
                <w:rFonts w:ascii="Times New Roman"/>
                <w:szCs w:val="21"/>
              </w:rPr>
              <w:t>类温室气体的</w:t>
            </w:r>
            <w:r>
              <w:rPr>
                <w:rFonts w:hint="eastAsia" w:ascii="Times New Roman"/>
                <w:szCs w:val="21"/>
              </w:rPr>
              <w:t>GWP值</w:t>
            </w:r>
            <w:r>
              <w:rPr>
                <w:rFonts w:ascii="Times New Roman"/>
                <w:szCs w:val="21"/>
              </w:rPr>
              <w:t>，</w:t>
            </w:r>
            <w:r>
              <w:rPr>
                <w:rFonts w:hint="eastAsia" w:ascii="Times New Roman"/>
                <w:szCs w:val="21"/>
              </w:rPr>
              <w:t>采用IPCC给出的100年GWP值，</w:t>
            </w:r>
            <w:r>
              <w:rPr>
                <w:rFonts w:ascii="Times New Roman"/>
                <w:szCs w:val="21"/>
              </w:rPr>
              <w:t>见表D.1。</w:t>
            </w:r>
          </w:p>
        </w:tc>
      </w:tr>
    </w:tbl>
    <w:p w14:paraId="72F670D5">
      <w:pPr>
        <w:pStyle w:val="46"/>
        <w:numPr>
          <w:ilvl w:val="2"/>
          <w:numId w:val="10"/>
        </w:numPr>
        <w:spacing w:beforeLines="0" w:afterLines="0" w:line="276" w:lineRule="auto"/>
        <w:ind w:left="0" w:firstLine="0"/>
        <w:outlineLvl w:val="9"/>
        <w:rPr>
          <w:rFonts w:hint="default" w:ascii="Times New Roman" w:hAnsi="Times New Roman" w:eastAsia="宋体" w:cs="Times New Roman"/>
        </w:rPr>
      </w:pPr>
      <w:bookmarkStart w:id="30" w:name="OLE_LINK1"/>
      <w:r>
        <w:rPr>
          <w:rFonts w:hint="default" w:ascii="Times New Roman" w:hAnsi="Times New Roman" w:eastAsia="宋体" w:cs="Times New Roman"/>
          <w:lang w:val="en-US" w:eastAsia="zh-CN"/>
        </w:rPr>
        <w:t>生产阶段（A1</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A3）</w:t>
      </w:r>
    </w:p>
    <w:p w14:paraId="284281D3">
      <w:pPr>
        <w:pStyle w:val="46"/>
        <w:keepNext w:val="0"/>
        <w:keepLines w:val="0"/>
        <w:pageBreakBefore w:val="0"/>
        <w:widowControl/>
        <w:numPr>
          <w:ilvl w:val="-1"/>
          <w:numId w:val="0"/>
        </w:numPr>
        <w:kinsoku/>
        <w:wordWrap/>
        <w:overflowPunct/>
        <w:topLinePunct w:val="0"/>
        <w:autoSpaceDE/>
        <w:autoSpaceDN/>
        <w:bidi w:val="0"/>
        <w:adjustRightInd/>
        <w:snapToGrid/>
        <w:spacing w:beforeLines="0" w:afterLines="0" w:line="360" w:lineRule="auto"/>
        <w:ind w:left="0" w:leftChars="0" w:firstLine="420" w:firstLineChars="200"/>
        <w:textAlignment w:val="auto"/>
        <w:outlineLvl w:val="9"/>
        <w:rPr>
          <w:rFonts w:hint="default" w:ascii="Times New Roman" w:hAnsi="Times New Roman" w:cs="Times New Roman"/>
        </w:rPr>
      </w:pPr>
      <w:r>
        <w:rPr>
          <w:rFonts w:hint="eastAsia" w:ascii="宋体" w:hAnsi="宋体" w:eastAsia="宋体" w:cs="宋体"/>
          <w:color w:val="auto"/>
          <w:szCs w:val="21"/>
        </w:rPr>
        <w:t>每</w:t>
      </w:r>
      <w:r>
        <w:rPr>
          <w:rFonts w:hint="eastAsia" w:ascii="宋体" w:hAnsi="宋体" w:eastAsia="宋体" w:cs="宋体"/>
          <w:color w:val="auto"/>
          <w:szCs w:val="21"/>
          <w:lang w:val="en-US" w:eastAsia="zh-CN"/>
        </w:rPr>
        <w:t>声明</w:t>
      </w:r>
      <w:r>
        <w:rPr>
          <w:rFonts w:hint="eastAsia" w:ascii="宋体" w:hAnsi="宋体" w:eastAsia="宋体" w:cs="宋体"/>
          <w:color w:val="auto"/>
          <w:szCs w:val="21"/>
        </w:rPr>
        <w:t>单位</w:t>
      </w:r>
      <w:r>
        <w:rPr>
          <w:rFonts w:hint="eastAsia" w:ascii="宋体" w:hAnsi="宋体" w:eastAsia="宋体" w:cs="宋体"/>
          <w:color w:val="auto"/>
          <w:szCs w:val="21"/>
          <w:lang w:val="en-US" w:eastAsia="zh-CN"/>
        </w:rPr>
        <w:t>产品</w:t>
      </w:r>
      <w:r>
        <w:rPr>
          <w:rFonts w:hint="eastAsia" w:ascii="宋体" w:hAnsi="宋体" w:eastAsia="宋体" w:cs="宋体"/>
          <w:lang w:val="en-US" w:eastAsia="zh-CN"/>
        </w:rPr>
        <w:t>生</w:t>
      </w:r>
      <w:r>
        <w:rPr>
          <w:rFonts w:hint="default" w:ascii="Times New Roman" w:hAnsi="Times New Roman" w:eastAsia="宋体" w:cs="Times New Roman"/>
          <w:lang w:val="en-US" w:eastAsia="zh-CN"/>
        </w:rPr>
        <w:t>产阶段碳足迹按式（2）计算：</w:t>
      </w:r>
    </w:p>
    <w:p w14:paraId="638C1589">
      <w:pPr>
        <w:pStyle w:val="26"/>
        <w:tabs>
          <w:tab w:val="center" w:pos="4536"/>
          <w:tab w:val="clear" w:pos="4201"/>
        </w:tabs>
        <w:wordWrap w:val="0"/>
        <w:spacing w:line="272" w:lineRule="auto"/>
        <w:ind w:firstLine="0" w:firstLineChars="0"/>
        <w:jc w:val="right"/>
        <w:rPr>
          <w:rFonts w:hint="default" w:ascii="Times New Roman" w:hAnsi="Times New Roman" w:cs="Times New Roman"/>
          <w:szCs w:val="21"/>
        </w:rPr>
      </w:pPr>
      <m:oMath>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rPr>
              <m:t>,i</m:t>
            </m:r>
            <m:ctrlPr>
              <w:rPr>
                <w:rFonts w:hint="default" w:ascii="Cambria Math" w:hAnsi="Cambria Math" w:cs="Times New Roman"/>
                <w:szCs w:val="21"/>
              </w:rPr>
            </m:ctrlPr>
          </m:sub>
        </m:sSub>
        <m:r>
          <m:rPr>
            <m:sty m:val="p"/>
          </m:rPr>
          <w:rPr>
            <w:rFonts w:hint="default" w:ascii="Cambria Math" w:hAnsi="Cambria Math" w:cs="Times New Roman"/>
            <w:szCs w:val="21"/>
            <w:lang w:val="en-US" w:eastAsia="zh-CN"/>
          </w:rPr>
          <m:t>=</m:t>
        </m:r>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A1</m:t>
            </m:r>
            <m:r>
              <m:rPr/>
              <w:rPr>
                <w:rFonts w:hint="default" w:ascii="Cambria Math" w:hAnsi="Cambria Math" w:cs="Times New Roman"/>
                <w:szCs w:val="21"/>
              </w:rPr>
              <m:t>,i</m:t>
            </m:r>
            <m:ctrlPr>
              <w:rPr>
                <w:rFonts w:hint="default" w:ascii="Cambria Math" w:hAnsi="Cambria Math" w:cs="Times New Roman"/>
                <w:szCs w:val="21"/>
              </w:rPr>
            </m:ctrlPr>
          </m:sub>
        </m:sSub>
        <m:r>
          <m:rPr>
            <m:sty m:val="p"/>
          </m:rPr>
          <w:rPr>
            <w:rFonts w:hint="default" w:ascii="Cambria Math" w:hAnsi="Cambria Math" w:cs="Times New Roman"/>
            <w:szCs w:val="21"/>
            <w:lang w:val="en-US" w:eastAsia="zh-CN"/>
          </w:rPr>
          <m:t>+</m:t>
        </m:r>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A2</m:t>
            </m:r>
            <m:r>
              <m:rPr/>
              <w:rPr>
                <w:rFonts w:hint="default" w:ascii="Cambria Math" w:hAnsi="Cambria Math" w:cs="Times New Roman"/>
                <w:szCs w:val="21"/>
              </w:rPr>
              <m:t>,i</m:t>
            </m:r>
            <m:ctrlPr>
              <w:rPr>
                <w:rFonts w:hint="default" w:ascii="Cambria Math" w:hAnsi="Cambria Math" w:cs="Times New Roman"/>
                <w:szCs w:val="21"/>
              </w:rPr>
            </m:ctrlPr>
          </m:sub>
        </m:sSub>
        <m:r>
          <m:rPr>
            <m:sty m:val="p"/>
          </m:rPr>
          <w:rPr>
            <w:rFonts w:hint="default" w:ascii="Cambria Math" w:hAnsi="Cambria Math" w:cs="Times New Roman"/>
            <w:szCs w:val="21"/>
            <w:lang w:val="en-US" w:eastAsia="zh-CN"/>
          </w:rPr>
          <m:t>+</m:t>
        </m:r>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A3</m:t>
            </m:r>
            <m:r>
              <m:rPr/>
              <w:rPr>
                <w:rFonts w:hint="default" w:ascii="Cambria Math" w:hAnsi="Cambria Math" w:cs="Times New Roman"/>
                <w:szCs w:val="21"/>
              </w:rPr>
              <m:t>,i</m:t>
            </m:r>
            <m:ctrlPr>
              <w:rPr>
                <w:rFonts w:hint="default" w:ascii="Cambria Math" w:hAnsi="Cambria Math" w:cs="Times New Roman"/>
                <w:szCs w:val="21"/>
              </w:rPr>
            </m:ctrlPr>
          </m:sub>
        </m:sSub>
      </m:oMath>
      <w:r>
        <w:rPr>
          <w:rFonts w:hint="default" w:ascii="Times New Roman" w:hAnsi="Times New Roman" w:cs="Times New Roman"/>
          <w:i w:val="0"/>
          <w:szCs w:val="21"/>
          <w:lang w:val="en-US" w:eastAsia="zh-CN"/>
        </w:rPr>
        <w:t xml:space="preserve">           </w:t>
      </w:r>
      <w:r>
        <w:rPr>
          <w:rFonts w:hint="eastAsia" w:ascii="Times New Roman" w:cs="Times New Roman"/>
          <w:i w:val="0"/>
          <w:szCs w:val="21"/>
          <w:lang w:val="en-US" w:eastAsia="zh-CN"/>
        </w:rPr>
        <w:t xml:space="preserve">    </w:t>
      </w:r>
      <w:r>
        <w:rPr>
          <w:rFonts w:hint="default" w:ascii="Times New Roman" w:hAnsi="Times New Roman" w:cs="Times New Roman"/>
          <w:i w:val="0"/>
          <w:szCs w:val="21"/>
          <w:lang w:val="en-US" w:eastAsia="zh-CN"/>
        </w:rPr>
        <w:t xml:space="preserve">            </w:t>
      </w:r>
      <w:r>
        <w:rPr>
          <w:rFonts w:hint="default" w:ascii="Times New Roman" w:hAnsi="Times New Roman" w:cs="Times New Roman"/>
          <w:szCs w:val="21"/>
        </w:rPr>
        <w:t>（2）</w:t>
      </w:r>
    </w:p>
    <w:p w14:paraId="70670738">
      <w:pPr>
        <w:spacing w:line="360" w:lineRule="auto"/>
        <w:ind w:firstLine="420" w:firstLineChars="200"/>
        <w:rPr>
          <w:rFonts w:hint="default" w:ascii="Times New Roman" w:hAnsi="Times New Roman" w:cs="Times New Roman"/>
        </w:rPr>
      </w:pPr>
      <w:r>
        <w:rPr>
          <w:rFonts w:hint="default" w:ascii="Times New Roman" w:hAnsi="Times New Roman" w:cs="Times New Roman"/>
        </w:rPr>
        <w:t>式中：</w:t>
      </w:r>
    </w:p>
    <w:tbl>
      <w:tblPr>
        <w:tblStyle w:val="36"/>
        <w:tblW w:w="9543"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4"/>
        <w:gridCol w:w="301"/>
        <w:gridCol w:w="8248"/>
      </w:tblGrid>
      <w:tr w14:paraId="35A22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994" w:type="dxa"/>
            <w:vAlign w:val="top"/>
          </w:tcPr>
          <w:p w14:paraId="15F50D30">
            <w:pPr>
              <w:pStyle w:val="26"/>
              <w:spacing w:line="360" w:lineRule="auto"/>
              <w:ind w:firstLine="0" w:firstLineChars="0"/>
              <w:jc w:val="left"/>
              <w:rPr>
                <w:rFonts w:hint="default" w:ascii="Times New Roman" w:hAnsi="Times New Roman" w:eastAsia="宋体" w:cs="Times New Roman"/>
                <w:color w:val="auto"/>
                <w:szCs w:val="18"/>
              </w:rPr>
            </w:pPr>
            <w:r>
              <w:rPr>
                <w:rFonts w:hint="default" w:ascii="Times New Roman" w:hAnsi="Times New Roman" w:eastAsia="宋体" w:cs="Times New Roman"/>
                <w:i/>
                <w:iCs/>
                <w:color w:val="auto"/>
                <w:szCs w:val="18"/>
              </w:rPr>
              <w:t>C</w:t>
            </w:r>
            <w:r>
              <w:rPr>
                <w:rFonts w:hint="eastAsia" w:ascii="Times New Roman" w:hAnsi="Times New Roman" w:eastAsia="宋体" w:cs="Times New Roman"/>
                <w:i/>
                <w:iCs/>
                <w:color w:val="auto"/>
                <w:szCs w:val="18"/>
                <w:lang w:val="en-US" w:eastAsia="zh-CN"/>
              </w:rPr>
              <w:t>FP</w:t>
            </w:r>
            <w:r>
              <w:rPr>
                <w:rFonts w:hint="default" w:ascii="Times New Roman" w:hAnsi="Times New Roman" w:cs="Times New Roman"/>
                <w:i/>
                <w:iCs/>
                <w:color w:val="auto"/>
                <w:szCs w:val="18"/>
                <w:vertAlign w:val="subscript"/>
                <w:lang w:val="en-US" w:eastAsia="zh-CN"/>
              </w:rPr>
              <w:t>A1</w:t>
            </w:r>
            <w:r>
              <w:rPr>
                <w:rFonts w:hint="default" w:ascii="Times New Roman" w:hAnsi="Times New Roman" w:eastAsia="宋体" w:cs="Times New Roman"/>
                <w:i/>
                <w:iCs/>
                <w:color w:val="auto"/>
                <w:szCs w:val="18"/>
                <w:vertAlign w:val="subscript"/>
              </w:rPr>
              <w:t>,i</w:t>
            </w:r>
          </w:p>
        </w:tc>
        <w:tc>
          <w:tcPr>
            <w:tcW w:w="301" w:type="dxa"/>
            <w:vAlign w:val="top"/>
          </w:tcPr>
          <w:p w14:paraId="717BCF74">
            <w:pPr>
              <w:pStyle w:val="26"/>
              <w:spacing w:line="360" w:lineRule="auto"/>
              <w:ind w:firstLine="0" w:firstLineChars="0"/>
              <w:jc w:val="center"/>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248" w:type="dxa"/>
            <w:vAlign w:val="top"/>
          </w:tcPr>
          <w:p w14:paraId="4DE2C51A">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产品在原料</w:t>
            </w:r>
            <w:r>
              <w:rPr>
                <w:rFonts w:hint="default" w:ascii="Times New Roman" w:hAnsi="Times New Roman" w:cs="Times New Roman"/>
                <w:color w:val="auto"/>
                <w:szCs w:val="21"/>
                <w:lang w:val="en-US" w:eastAsia="zh-CN"/>
              </w:rPr>
              <w:t>/</w:t>
            </w:r>
            <w:r>
              <w:rPr>
                <w:rFonts w:hint="default" w:ascii="Times New Roman" w:hAnsi="Times New Roman" w:eastAsia="宋体" w:cs="Times New Roman"/>
                <w:color w:val="auto"/>
                <w:szCs w:val="21"/>
              </w:rPr>
              <w:t>能源获取阶段的第i类温室气体排放量，单位为</w:t>
            </w:r>
            <w:r>
              <w:rPr>
                <w:rFonts w:hint="default" w:ascii="Times New Roman" w:hAnsi="Times New Roman" w:eastAsia="宋体" w:cs="Times New Roman"/>
                <w:color w:val="auto"/>
                <w:szCs w:val="18"/>
              </w:rPr>
              <w:t>千克（kg），</w:t>
            </w:r>
            <w:r>
              <w:rPr>
                <w:rFonts w:hint="default" w:ascii="Times New Roman" w:hAnsi="Times New Roman" w:eastAsia="宋体" w:cs="Times New Roman"/>
                <w:color w:val="auto"/>
                <w:szCs w:val="21"/>
              </w:rPr>
              <w:t>计算方法见式（</w:t>
            </w:r>
            <w:r>
              <w:rPr>
                <w:rFonts w:hint="default" w:ascii="Times New Roman" w:hAnsi="Times New Roman" w:cs="Times New Roman"/>
                <w:color w:val="auto"/>
                <w:szCs w:val="21"/>
                <w:lang w:val="en-US" w:eastAsia="zh-CN"/>
              </w:rPr>
              <w:t>3</w:t>
            </w:r>
            <w:r>
              <w:rPr>
                <w:rFonts w:hint="default" w:ascii="Times New Roman" w:hAnsi="Times New Roman" w:eastAsia="宋体" w:cs="Times New Roman"/>
                <w:color w:val="auto"/>
                <w:szCs w:val="21"/>
              </w:rPr>
              <w:t>）；</w:t>
            </w:r>
          </w:p>
        </w:tc>
      </w:tr>
      <w:tr w14:paraId="67AA0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994" w:type="dxa"/>
            <w:vAlign w:val="top"/>
          </w:tcPr>
          <w:p w14:paraId="01351441">
            <w:pPr>
              <w:pStyle w:val="26"/>
              <w:spacing w:line="360" w:lineRule="auto"/>
              <w:ind w:firstLine="0" w:firstLineChars="0"/>
              <w:jc w:val="left"/>
              <w:rPr>
                <w:rFonts w:hint="default" w:ascii="Times New Roman" w:hAnsi="Times New Roman" w:eastAsia="宋体" w:cs="Times New Roman"/>
                <w:color w:val="auto"/>
                <w:szCs w:val="18"/>
              </w:rPr>
            </w:pPr>
            <w:r>
              <w:rPr>
                <w:rFonts w:hint="default" w:ascii="Times New Roman" w:hAnsi="Times New Roman" w:eastAsia="宋体" w:cs="Times New Roman"/>
                <w:i/>
                <w:iCs/>
                <w:color w:val="auto"/>
                <w:szCs w:val="18"/>
              </w:rPr>
              <w:t>C</w:t>
            </w:r>
            <w:r>
              <w:rPr>
                <w:rFonts w:hint="eastAsia" w:ascii="Times New Roman" w:hAnsi="Times New Roman" w:eastAsia="宋体" w:cs="Times New Roman"/>
                <w:i/>
                <w:iCs/>
                <w:color w:val="auto"/>
                <w:szCs w:val="18"/>
                <w:lang w:val="en-US" w:eastAsia="zh-CN"/>
              </w:rPr>
              <w:t>FP</w:t>
            </w:r>
            <w:r>
              <w:rPr>
                <w:rFonts w:hint="default" w:ascii="Times New Roman" w:hAnsi="Times New Roman" w:cs="Times New Roman"/>
                <w:i/>
                <w:iCs/>
                <w:color w:val="auto"/>
                <w:szCs w:val="18"/>
                <w:vertAlign w:val="subscript"/>
                <w:lang w:val="en-US" w:eastAsia="zh-CN"/>
              </w:rPr>
              <w:t>A2</w:t>
            </w:r>
            <w:r>
              <w:rPr>
                <w:rFonts w:hint="default" w:ascii="Times New Roman" w:hAnsi="Times New Roman" w:eastAsia="宋体" w:cs="Times New Roman"/>
                <w:i/>
                <w:iCs/>
                <w:color w:val="auto"/>
                <w:szCs w:val="18"/>
                <w:vertAlign w:val="subscript"/>
              </w:rPr>
              <w:t>,i</w:t>
            </w:r>
          </w:p>
        </w:tc>
        <w:tc>
          <w:tcPr>
            <w:tcW w:w="301" w:type="dxa"/>
            <w:vAlign w:val="top"/>
          </w:tcPr>
          <w:p w14:paraId="5A88C41E">
            <w:pPr>
              <w:pStyle w:val="26"/>
              <w:spacing w:line="360" w:lineRule="auto"/>
              <w:ind w:firstLine="0" w:firstLineChars="0"/>
              <w:jc w:val="center"/>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248" w:type="dxa"/>
            <w:vAlign w:val="top"/>
          </w:tcPr>
          <w:p w14:paraId="12A6CDF6">
            <w:pPr>
              <w:pStyle w:val="26"/>
              <w:spacing w:line="360" w:lineRule="auto"/>
              <w:ind w:firstLine="0" w:firstLineChars="0"/>
              <w:rPr>
                <w:rFonts w:hint="default" w:ascii="Times New Roman" w:hAnsi="Times New Roman" w:eastAsia="宋体" w:cs="Times New Roman"/>
                <w:color w:val="auto"/>
                <w:szCs w:val="18"/>
                <w:lang w:val="en-US" w:eastAsia="zh-CN"/>
              </w:rPr>
            </w:pPr>
            <w:r>
              <w:rPr>
                <w:rFonts w:hint="default" w:ascii="Times New Roman" w:hAnsi="Times New Roman" w:eastAsia="宋体" w:cs="Times New Roman"/>
                <w:color w:val="auto"/>
                <w:szCs w:val="21"/>
              </w:rPr>
              <w:t>产品在原料</w:t>
            </w:r>
            <w:r>
              <w:rPr>
                <w:rFonts w:hint="default" w:ascii="Times New Roman" w:hAnsi="Times New Roman" w:cs="Times New Roman"/>
                <w:color w:val="auto"/>
                <w:szCs w:val="21"/>
                <w:lang w:val="en-US" w:eastAsia="zh-CN"/>
              </w:rPr>
              <w:t>/</w:t>
            </w:r>
            <w:r>
              <w:rPr>
                <w:rFonts w:hint="default" w:ascii="Times New Roman" w:hAnsi="Times New Roman" w:eastAsia="宋体" w:cs="Times New Roman"/>
                <w:color w:val="auto"/>
                <w:szCs w:val="21"/>
              </w:rPr>
              <w:t>能源</w:t>
            </w:r>
            <w:r>
              <w:rPr>
                <w:rFonts w:hint="default" w:ascii="Times New Roman" w:hAnsi="Times New Roman" w:cs="Times New Roman"/>
                <w:color w:val="auto"/>
                <w:szCs w:val="21"/>
                <w:lang w:val="en-US" w:eastAsia="zh-CN"/>
              </w:rPr>
              <w:t>运输阶段</w:t>
            </w:r>
            <w:r>
              <w:rPr>
                <w:rFonts w:hint="default" w:ascii="Times New Roman" w:hAnsi="Times New Roman" w:eastAsia="宋体" w:cs="Times New Roman"/>
                <w:color w:val="auto"/>
                <w:szCs w:val="21"/>
              </w:rPr>
              <w:t>的第i类温室气体排放量，单位为</w:t>
            </w:r>
            <w:r>
              <w:rPr>
                <w:rFonts w:hint="default" w:ascii="Times New Roman" w:hAnsi="Times New Roman" w:eastAsia="宋体" w:cs="Times New Roman"/>
                <w:color w:val="auto"/>
                <w:szCs w:val="18"/>
              </w:rPr>
              <w:t>千克（kg），</w:t>
            </w:r>
            <w:r>
              <w:rPr>
                <w:rFonts w:hint="default" w:ascii="Times New Roman" w:hAnsi="Times New Roman" w:eastAsia="宋体" w:cs="Times New Roman"/>
                <w:color w:val="auto"/>
                <w:szCs w:val="21"/>
              </w:rPr>
              <w:t>计算方法见式（</w:t>
            </w:r>
            <w:r>
              <w:rPr>
                <w:rFonts w:hint="default" w:ascii="Times New Roman" w:hAnsi="Times New Roman" w:cs="Times New Roman"/>
                <w:color w:val="auto"/>
                <w:szCs w:val="21"/>
                <w:lang w:val="en-US" w:eastAsia="zh-CN"/>
              </w:rPr>
              <w:t>4</w:t>
            </w:r>
            <w:r>
              <w:rPr>
                <w:rFonts w:hint="default" w:ascii="Times New Roman" w:hAnsi="Times New Roman" w:eastAsia="宋体" w:cs="Times New Roman"/>
                <w:color w:val="auto"/>
                <w:szCs w:val="21"/>
              </w:rPr>
              <w:t>）；</w:t>
            </w:r>
          </w:p>
        </w:tc>
      </w:tr>
      <w:tr w14:paraId="58A4B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994" w:type="dxa"/>
            <w:vAlign w:val="top"/>
          </w:tcPr>
          <w:p w14:paraId="71B48046">
            <w:pPr>
              <w:pStyle w:val="26"/>
              <w:spacing w:line="360" w:lineRule="auto"/>
              <w:ind w:firstLine="0" w:firstLineChars="0"/>
              <w:jc w:val="left"/>
              <w:rPr>
                <w:rFonts w:hint="default" w:ascii="Times New Roman" w:hAnsi="Times New Roman" w:eastAsia="宋体" w:cs="Times New Roman"/>
                <w:color w:val="auto"/>
                <w:szCs w:val="18"/>
              </w:rPr>
            </w:pPr>
            <w:r>
              <w:rPr>
                <w:rFonts w:hint="default" w:ascii="Times New Roman" w:hAnsi="Times New Roman" w:eastAsia="宋体" w:cs="Times New Roman"/>
                <w:i/>
                <w:iCs/>
                <w:color w:val="auto"/>
                <w:szCs w:val="18"/>
              </w:rPr>
              <w:t>C</w:t>
            </w:r>
            <w:r>
              <w:rPr>
                <w:rFonts w:hint="eastAsia" w:ascii="Times New Roman" w:hAnsi="Times New Roman" w:eastAsia="宋体" w:cs="Times New Roman"/>
                <w:i/>
                <w:iCs/>
                <w:color w:val="auto"/>
                <w:szCs w:val="18"/>
                <w:lang w:val="en-US" w:eastAsia="zh-CN"/>
              </w:rPr>
              <w:t>FP</w:t>
            </w:r>
            <w:r>
              <w:rPr>
                <w:rFonts w:hint="default" w:ascii="Times New Roman" w:hAnsi="Times New Roman" w:cs="Times New Roman"/>
                <w:i/>
                <w:iCs/>
                <w:color w:val="auto"/>
                <w:szCs w:val="18"/>
                <w:vertAlign w:val="subscript"/>
                <w:lang w:val="en-US" w:eastAsia="zh-CN"/>
              </w:rPr>
              <w:t>A3</w:t>
            </w:r>
            <w:r>
              <w:rPr>
                <w:rFonts w:hint="default" w:ascii="Times New Roman" w:hAnsi="Times New Roman" w:eastAsia="宋体" w:cs="Times New Roman"/>
                <w:i/>
                <w:iCs/>
                <w:color w:val="auto"/>
                <w:szCs w:val="18"/>
                <w:vertAlign w:val="subscript"/>
              </w:rPr>
              <w:t>，i</w:t>
            </w:r>
          </w:p>
        </w:tc>
        <w:tc>
          <w:tcPr>
            <w:tcW w:w="301" w:type="dxa"/>
            <w:vAlign w:val="top"/>
          </w:tcPr>
          <w:p w14:paraId="4F8B961B">
            <w:pPr>
              <w:pStyle w:val="26"/>
              <w:spacing w:line="360" w:lineRule="auto"/>
              <w:ind w:firstLine="0" w:firstLineChars="0"/>
              <w:jc w:val="center"/>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248" w:type="dxa"/>
            <w:vAlign w:val="top"/>
          </w:tcPr>
          <w:p w14:paraId="6E1F8EAE">
            <w:pPr>
              <w:pStyle w:val="26"/>
              <w:spacing w:line="360" w:lineRule="auto"/>
              <w:ind w:firstLine="0" w:firstLineChars="0"/>
              <w:rPr>
                <w:rFonts w:hint="default" w:ascii="Times New Roman" w:hAnsi="Times New Roman" w:eastAsia="宋体" w:cs="Times New Roman"/>
                <w:color w:val="auto"/>
                <w:szCs w:val="18"/>
                <w:lang w:eastAsia="zh-CN"/>
              </w:rPr>
            </w:pPr>
            <w:r>
              <w:rPr>
                <w:rFonts w:hint="default" w:ascii="Times New Roman" w:hAnsi="Times New Roman" w:eastAsia="宋体" w:cs="Times New Roman"/>
                <w:color w:val="auto"/>
                <w:szCs w:val="21"/>
              </w:rPr>
              <w:t>产品在</w:t>
            </w:r>
            <w:r>
              <w:rPr>
                <w:rFonts w:hint="default" w:ascii="Times New Roman" w:hAnsi="Times New Roman" w:cs="Times New Roman"/>
                <w:color w:val="auto"/>
                <w:szCs w:val="21"/>
                <w:lang w:val="en-US" w:eastAsia="zh-CN"/>
              </w:rPr>
              <w:t>产品</w:t>
            </w:r>
            <w:r>
              <w:rPr>
                <w:rFonts w:hint="default" w:ascii="Times New Roman" w:hAnsi="Times New Roman" w:eastAsia="宋体" w:cs="Times New Roman"/>
                <w:color w:val="auto"/>
                <w:szCs w:val="21"/>
              </w:rPr>
              <w:t>生产阶段的第i类温室气体排放量，单位为</w:t>
            </w:r>
            <w:r>
              <w:rPr>
                <w:rFonts w:hint="default" w:ascii="Times New Roman" w:hAnsi="Times New Roman" w:eastAsia="宋体" w:cs="Times New Roman"/>
                <w:color w:val="auto"/>
                <w:szCs w:val="18"/>
              </w:rPr>
              <w:t>千克（kg），</w:t>
            </w:r>
            <w:r>
              <w:rPr>
                <w:rFonts w:hint="default" w:ascii="Times New Roman" w:hAnsi="Times New Roman" w:eastAsia="宋体" w:cs="Times New Roman"/>
                <w:color w:val="auto"/>
                <w:szCs w:val="21"/>
              </w:rPr>
              <w:t>计算方法见式（</w:t>
            </w:r>
            <w:r>
              <w:rPr>
                <w:rFonts w:hint="default" w:ascii="Times New Roman" w:hAnsi="Times New Roman" w:cs="Times New Roman"/>
                <w:color w:val="auto"/>
                <w:szCs w:val="21"/>
                <w:lang w:val="en-US" w:eastAsia="zh-CN"/>
              </w:rPr>
              <w:t>5</w:t>
            </w:r>
            <w:r>
              <w:rPr>
                <w:rFonts w:hint="default" w:ascii="Times New Roman" w:hAnsi="Times New Roman" w:eastAsia="宋体" w:cs="Times New Roman"/>
                <w:color w:val="auto"/>
                <w:szCs w:val="21"/>
              </w:rPr>
              <w:t>）</w:t>
            </w:r>
            <w:r>
              <w:rPr>
                <w:rFonts w:hint="default" w:ascii="Times New Roman" w:hAnsi="Times New Roman" w:cs="Times New Roman"/>
                <w:color w:val="auto"/>
                <w:szCs w:val="21"/>
                <w:lang w:val="en-US" w:eastAsia="zh-CN"/>
              </w:rPr>
              <w:t>。</w:t>
            </w:r>
          </w:p>
        </w:tc>
      </w:tr>
    </w:tbl>
    <w:p w14:paraId="7A78F3A6">
      <w:pPr>
        <w:pStyle w:val="46"/>
        <w:numPr>
          <w:ilvl w:val="2"/>
          <w:numId w:val="10"/>
        </w:numPr>
        <w:spacing w:beforeLines="0" w:afterLines="0" w:line="276" w:lineRule="auto"/>
        <w:ind w:left="0" w:firstLine="0"/>
        <w:outlineLvl w:val="9"/>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原料/能源获取过程（A1）</w:t>
      </w:r>
    </w:p>
    <w:p w14:paraId="3C863EB0">
      <w:pPr>
        <w:pStyle w:val="26"/>
        <w:spacing w:line="360" w:lineRule="auto"/>
        <w:ind w:firstLine="0" w:firstLineChars="0"/>
        <w:jc w:val="right"/>
        <w:rPr>
          <w:rFonts w:hint="default" w:ascii="Times New Roman" w:hAnsi="Times New Roman" w:cs="Times New Roman"/>
        </w:rPr>
      </w:pPr>
      <m:oMath>
        <m:sSub>
          <m:sSubPr>
            <m:ctrlPr>
              <w:rPr>
                <w:rFonts w:hint="default" w:ascii="Cambria Math" w:hAnsi="Cambria Math" w:cs="Times New Roman"/>
                <w:i/>
              </w:rPr>
            </m:ctrlPr>
          </m:sSubPr>
          <m:e>
            <m:r>
              <m:rPr/>
              <w:rPr>
                <w:rFonts w:hint="default" w:ascii="Cambria Math" w:hAnsi="Cambria Math" w:cs="Times New Roman"/>
              </w:rPr>
              <m:t>C</m:t>
            </m:r>
            <m:r>
              <m:rPr/>
              <w:rPr>
                <w:rFonts w:hint="default" w:ascii="Cambria Math" w:hAnsi="Cambria Math" w:cs="Times New Roman"/>
                <w:lang w:val="en-US" w:eastAsia="zh-CN"/>
              </w:rPr>
              <m:t>FP</m:t>
            </m:r>
            <m:ctrlPr>
              <w:rPr>
                <w:rFonts w:hint="default" w:ascii="Cambria Math" w:hAnsi="Cambria Math" w:cs="Times New Roman"/>
                <w:i/>
              </w:rPr>
            </m:ctrlPr>
          </m:e>
          <m:sub>
            <m:r>
              <m:rPr/>
              <w:rPr>
                <w:rFonts w:hint="default" w:ascii="Cambria Math" w:hAnsi="Cambria Math" w:cs="Times New Roman"/>
                <w:lang w:val="en-US" w:eastAsia="zh-CN"/>
              </w:rPr>
              <m:t>A1</m:t>
            </m:r>
            <m:r>
              <m:rPr/>
              <w:rPr>
                <w:rFonts w:hint="default" w:ascii="Cambria Math" w:hAnsi="Cambria Math" w:cs="Times New Roman"/>
              </w:rPr>
              <m:t>,i</m:t>
            </m:r>
            <m:ctrlPr>
              <w:rPr>
                <w:rFonts w:hint="default" w:ascii="Cambria Math" w:hAnsi="Cambria Math" w:cs="Times New Roman"/>
                <w:i/>
              </w:rPr>
            </m:ctrlPr>
          </m:sub>
        </m:sSub>
        <m:r>
          <m:rPr/>
          <w:rPr>
            <w:rFonts w:hint="default" w:ascii="Cambria Math" w:hAnsi="Cambria Math" w:cs="Times New Roman"/>
          </w:rPr>
          <m:t>=</m:t>
        </m:r>
        <w:bookmarkStart w:id="31" w:name="OLE_LINK10"/>
        <m:nary>
          <m:naryPr>
            <m:chr m:val="∑"/>
            <m:subHide m:val="1"/>
            <m:supHide m:val="1"/>
            <m:ctrlPr>
              <w:rPr>
                <w:rFonts w:hint="default" w:ascii="Cambria Math" w:hAnsi="Cambria Math" w:cs="Times New Roman"/>
                <w:i/>
              </w:rPr>
            </m:ctrlPr>
          </m:naryPr>
          <m:sub>
            <m:ctrlPr>
              <w:rPr>
                <w:rFonts w:hint="default" w:ascii="Cambria Math" w:hAnsi="Cambria Math" w:cs="Times New Roman"/>
                <w:i/>
              </w:rPr>
            </m:ctrlPr>
          </m:sub>
          <m:sup>
            <m:ctrlPr>
              <w:rPr>
                <w:rFonts w:hint="default" w:ascii="Cambria Math" w:hAnsi="Cambria Math" w:cs="Times New Roman"/>
                <w:i/>
              </w:rPr>
            </m:ctrlPr>
          </m:sup>
          <m:e>
            <m:d>
              <m:dPr>
                <m:ctrlPr>
                  <w:rPr>
                    <w:rFonts w:hint="default" w:ascii="Cambria Math" w:hAnsi="Cambria Math" w:cs="Times New Roman"/>
                    <w:i/>
                  </w:rPr>
                </m:ctrlPr>
              </m:dPr>
              <m:e>
                <m:sSub>
                  <m:sSubPr>
                    <m:ctrlPr>
                      <w:rPr>
                        <w:rFonts w:hint="default" w:ascii="Cambria Math" w:hAnsi="Cambria Math" w:cs="Times New Roman"/>
                        <w:i/>
                      </w:rPr>
                    </m:ctrlPr>
                  </m:sSubPr>
                  <m:e>
                    <m:r>
                      <m:rPr/>
                      <w:rPr>
                        <w:rFonts w:hint="default" w:ascii="Cambria Math" w:hAnsi="Cambria Math" w:cs="Times New Roman"/>
                      </w:rPr>
                      <m:t>M</m:t>
                    </m:r>
                    <m:ctrlPr>
                      <w:rPr>
                        <w:rFonts w:hint="default" w:ascii="Cambria Math" w:hAnsi="Cambria Math" w:cs="Times New Roman"/>
                        <w:i/>
                      </w:rPr>
                    </m:ctrlPr>
                  </m:e>
                  <m:sub>
                    <m:r>
                      <m:rPr>
                        <m:nor/>
                      </m:rPr>
                      <w:rPr>
                        <w:rFonts w:hint="default" w:ascii="Cambria Math" w:hAnsi="Cambria Math" w:cs="Times New Roman"/>
                        <w:i/>
                      </w:rPr>
                      <m:t>j</m:t>
                    </m:r>
                    <m:ctrlPr>
                      <w:rPr>
                        <w:rFonts w:hint="default" w:ascii="Cambria Math" w:hAnsi="Cambria Math" w:cs="Times New Roman"/>
                        <w:i/>
                      </w:rPr>
                    </m:ctrlPr>
                  </m:sub>
                </m:sSub>
                <m:r>
                  <m:rPr/>
                  <w:rPr>
                    <w:rFonts w:hint="default" w:ascii="Cambria Math" w:hAnsi="Cambria Math" w:cs="Times New Roman"/>
                  </w:rPr>
                  <m:t>×CE</m:t>
                </m:r>
                <m:sSub>
                  <m:sSubPr>
                    <m:ctrlPr>
                      <w:rPr>
                        <w:rFonts w:hint="default" w:ascii="Cambria Math" w:hAnsi="Cambria Math" w:cs="Times New Roman"/>
                        <w:i/>
                      </w:rPr>
                    </m:ctrlPr>
                  </m:sSubPr>
                  <m:e>
                    <m:r>
                      <m:rPr/>
                      <w:rPr>
                        <w:rFonts w:hint="default" w:ascii="Cambria Math" w:hAnsi="Cambria Math" w:cs="Times New Roman"/>
                      </w:rPr>
                      <m:t>F</m:t>
                    </m:r>
                    <m:ctrlPr>
                      <w:rPr>
                        <w:rFonts w:hint="default" w:ascii="Cambria Math" w:hAnsi="Cambria Math" w:cs="Times New Roman"/>
                        <w:i/>
                      </w:rPr>
                    </m:ctrlPr>
                  </m:e>
                  <m:sub>
                    <m:r>
                      <m:rPr>
                        <m:nor/>
                      </m:rPr>
                      <w:rPr>
                        <w:rFonts w:hint="default" w:ascii="Cambria Math" w:hAnsi="Cambria Math" w:cs="Times New Roman"/>
                        <w:i/>
                      </w:rPr>
                      <m:t>i,j</m:t>
                    </m:r>
                    <w:bookmarkEnd w:id="31"/>
                    <m:ctrlPr>
                      <w:rPr>
                        <w:rFonts w:hint="default" w:ascii="Cambria Math" w:hAnsi="Cambria Math" w:cs="Times New Roman"/>
                        <w:i/>
                      </w:rPr>
                    </m:ctrlPr>
                  </m:sub>
                </m:sSub>
                <m:ctrlPr>
                  <w:rPr>
                    <w:rFonts w:hint="default" w:ascii="Cambria Math" w:hAnsi="Cambria Math" w:cs="Times New Roman"/>
                    <w:i/>
                  </w:rPr>
                </m:ctrlPr>
              </m:e>
            </m:d>
            <m:ctrlPr>
              <w:rPr>
                <w:rFonts w:hint="default" w:ascii="Cambria Math" w:hAnsi="Cambria Math" w:cs="Times New Roman"/>
                <w:i/>
              </w:rPr>
            </m:ctrlPr>
          </m:e>
        </m:nary>
      </m:oMath>
      <w:r>
        <w:rPr>
          <w:rFonts w:hint="default" w:ascii="Times New Roman" w:hAnsi="Times New Roman" w:cs="Times New Roman"/>
          <w:lang w:val="en-US" w:eastAsia="zh-CN"/>
        </w:rPr>
        <w:t xml:space="preserve">            </w:t>
      </w:r>
      <w:r>
        <w:rPr>
          <w:rFonts w:hint="eastAsia" w:ascii="Times New Roman" w:cs="Times New Roman"/>
          <w:lang w:val="en-US"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w:t>
      </w:r>
      <w:r>
        <w:rPr>
          <w:rFonts w:hint="default" w:ascii="Times New Roman" w:hAnsi="Times New Roman" w:cs="Times New Roman"/>
          <w:lang w:val="en-US" w:eastAsia="zh-CN"/>
        </w:rPr>
        <w:t>3</w:t>
      </w:r>
      <w:r>
        <w:rPr>
          <w:rFonts w:hint="default" w:ascii="Times New Roman" w:hAnsi="Times New Roman" w:cs="Times New Roman"/>
        </w:rPr>
        <w:t>）</w:t>
      </w:r>
    </w:p>
    <w:p w14:paraId="21C0FBAF">
      <w:pPr>
        <w:spacing w:line="360" w:lineRule="auto"/>
        <w:ind w:firstLine="420" w:firstLineChars="200"/>
        <w:rPr>
          <w:rFonts w:hint="default" w:ascii="Times New Roman" w:hAnsi="Times New Roman" w:cs="Times New Roman"/>
        </w:rPr>
      </w:pPr>
      <w:r>
        <w:rPr>
          <w:rFonts w:hint="default" w:ascii="Times New Roman" w:hAnsi="Times New Roman" w:cs="Times New Roman"/>
        </w:rPr>
        <w:t>式中：</w:t>
      </w:r>
    </w:p>
    <w:tbl>
      <w:tblPr>
        <w:tblStyle w:val="36"/>
        <w:tblW w:w="9540"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3"/>
        <w:gridCol w:w="426"/>
        <w:gridCol w:w="8391"/>
      </w:tblGrid>
      <w:tr w14:paraId="16C9C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723" w:type="dxa"/>
          </w:tcPr>
          <w:p w14:paraId="17CF958F">
            <w:pPr>
              <w:pStyle w:val="26"/>
              <w:adjustRightInd w:val="0"/>
              <w:snapToGrid w:val="0"/>
              <w:spacing w:line="360" w:lineRule="auto"/>
              <w:ind w:firstLine="0" w:firstLineChars="0"/>
              <w:jc w:val="left"/>
              <w:rPr>
                <w:rFonts w:hint="default" w:ascii="Times New Roman" w:hAnsi="Times New Roman" w:eastAsia="宋体" w:cs="Times New Roman"/>
                <w:i/>
                <w:iCs/>
                <w:color w:val="auto"/>
                <w:szCs w:val="18"/>
              </w:rPr>
            </w:pPr>
            <w:bookmarkStart w:id="32" w:name="OLE_LINK11" w:colFirst="0" w:colLast="2"/>
            <w:r>
              <w:rPr>
                <w:rFonts w:hint="default" w:ascii="Times New Roman" w:hAnsi="Times New Roman" w:eastAsia="宋体" w:cs="Times New Roman"/>
                <w:i/>
                <w:iCs/>
                <w:color w:val="auto"/>
                <w:szCs w:val="18"/>
              </w:rPr>
              <w:t>M</w:t>
            </w:r>
            <w:r>
              <w:rPr>
                <w:rFonts w:hint="default" w:ascii="Times New Roman" w:hAnsi="Times New Roman" w:eastAsia="宋体" w:cs="Times New Roman"/>
                <w:i/>
                <w:iCs/>
                <w:color w:val="auto"/>
                <w:szCs w:val="18"/>
                <w:vertAlign w:val="subscript"/>
              </w:rPr>
              <w:t>j</w:t>
            </w:r>
          </w:p>
        </w:tc>
        <w:tc>
          <w:tcPr>
            <w:tcW w:w="426" w:type="dxa"/>
            <w:vAlign w:val="top"/>
          </w:tcPr>
          <w:p w14:paraId="18459507">
            <w:pPr>
              <w:pStyle w:val="26"/>
              <w:spacing w:line="360" w:lineRule="auto"/>
              <w:ind w:firstLine="0" w:firstLineChars="0"/>
              <w:jc w:val="center"/>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391" w:type="dxa"/>
          </w:tcPr>
          <w:p w14:paraId="45A18C7D">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18"/>
              </w:rPr>
              <w:t>第j种</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或能源的消耗量，单位视</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或能源种类而定</w:t>
            </w:r>
            <w:r>
              <w:rPr>
                <w:rFonts w:hint="default" w:ascii="Times New Roman" w:hAnsi="Times New Roman" w:cs="Times New Roman"/>
                <w:color w:val="auto"/>
                <w:szCs w:val="18"/>
                <w:lang w:eastAsia="zh-CN"/>
              </w:rPr>
              <w:t>，</w:t>
            </w:r>
            <w:r>
              <w:rPr>
                <w:rFonts w:hint="default" w:ascii="Times New Roman" w:hAnsi="Times New Roman" w:cs="Times New Roman"/>
                <w:color w:val="auto"/>
                <w:szCs w:val="18"/>
                <w:lang w:val="en-US" w:eastAsia="zh-CN"/>
              </w:rPr>
              <w:t>电力消耗量应与电力属性对应</w:t>
            </w:r>
            <w:r>
              <w:rPr>
                <w:rFonts w:hint="default" w:ascii="Times New Roman" w:hAnsi="Times New Roman" w:eastAsia="宋体" w:cs="Times New Roman"/>
                <w:color w:val="auto"/>
                <w:szCs w:val="18"/>
              </w:rPr>
              <w:t>；</w:t>
            </w:r>
          </w:p>
        </w:tc>
      </w:tr>
      <w:tr w14:paraId="41CF1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723" w:type="dxa"/>
          </w:tcPr>
          <w:p w14:paraId="26960C27">
            <w:pPr>
              <w:pStyle w:val="26"/>
              <w:adjustRightInd w:val="0"/>
              <w:snapToGrid w:val="0"/>
              <w:spacing w:line="360" w:lineRule="auto"/>
              <w:ind w:firstLine="0" w:firstLineChars="0"/>
              <w:jc w:val="left"/>
              <w:rPr>
                <w:rFonts w:hint="default" w:ascii="Times New Roman" w:hAnsi="Times New Roman" w:eastAsia="宋体" w:cs="Times New Roman"/>
                <w:i/>
                <w:iCs/>
                <w:color w:val="auto"/>
                <w:szCs w:val="18"/>
              </w:rPr>
            </w:pPr>
            <w:r>
              <w:rPr>
                <w:rFonts w:hint="default" w:ascii="Times New Roman" w:hAnsi="Times New Roman" w:eastAsia="宋体" w:cs="Times New Roman"/>
                <w:i/>
                <w:iCs/>
                <w:color w:val="auto"/>
                <w:szCs w:val="18"/>
              </w:rPr>
              <w:t>CEF</w:t>
            </w:r>
            <w:r>
              <w:rPr>
                <w:rFonts w:hint="default" w:ascii="Times New Roman" w:hAnsi="Times New Roman" w:eastAsia="宋体" w:cs="Times New Roman"/>
                <w:i/>
                <w:iCs/>
                <w:color w:val="auto"/>
                <w:szCs w:val="18"/>
                <w:vertAlign w:val="subscript"/>
              </w:rPr>
              <w:t>i,j</w:t>
            </w:r>
          </w:p>
        </w:tc>
        <w:tc>
          <w:tcPr>
            <w:tcW w:w="426" w:type="dxa"/>
            <w:vAlign w:val="top"/>
          </w:tcPr>
          <w:p w14:paraId="7016B0D7">
            <w:pPr>
              <w:pStyle w:val="26"/>
              <w:spacing w:line="360" w:lineRule="auto"/>
              <w:ind w:firstLine="0" w:firstLineChars="0"/>
              <w:jc w:val="center"/>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391" w:type="dxa"/>
          </w:tcPr>
          <w:p w14:paraId="3AA86847">
            <w:pPr>
              <w:pStyle w:val="26"/>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leftChars="0"/>
              <w:jc w:val="left"/>
              <w:textAlignment w:val="auto"/>
              <w:rPr>
                <w:rFonts w:hint="default" w:ascii="Times New Roman" w:hAnsi="Times New Roman" w:cs="Times New Roman"/>
                <w:color w:val="auto"/>
                <w:szCs w:val="18"/>
                <w:lang w:val="en-US" w:eastAsia="zh-CN"/>
              </w:rPr>
            </w:pPr>
            <w:r>
              <w:rPr>
                <w:rFonts w:hint="default" w:ascii="Times New Roman" w:hAnsi="Times New Roman" w:eastAsia="宋体" w:cs="Times New Roman"/>
                <w:color w:val="auto"/>
                <w:szCs w:val="18"/>
              </w:rPr>
              <w:t>第j种</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或能源的第i种温室气体排放因子，单位视</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或能源种类而定</w:t>
            </w:r>
            <w:r>
              <w:rPr>
                <w:rFonts w:hint="default" w:ascii="Times New Roman" w:hAnsi="Times New Roman" w:cs="Times New Roman"/>
                <w:color w:val="auto"/>
                <w:szCs w:val="18"/>
                <w:lang w:val="en-US" w:eastAsia="zh-CN"/>
              </w:rPr>
              <w:t>。</w:t>
            </w:r>
          </w:p>
        </w:tc>
      </w:tr>
      <w:bookmarkEnd w:id="32"/>
    </w:tbl>
    <w:p w14:paraId="1ABF813B">
      <w:pPr>
        <w:pStyle w:val="26"/>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firstLine="420" w:firstLineChars="200"/>
        <w:jc w:val="left"/>
        <w:textAlignment w:val="auto"/>
        <w:rPr>
          <w:rFonts w:hint="default" w:ascii="Times New Roman" w:cs="Times New Roman"/>
          <w:iCs/>
          <w:color w:val="auto"/>
          <w:szCs w:val="18"/>
          <w:lang w:val="en-US" w:eastAsia="zh-CN"/>
        </w:rPr>
      </w:pPr>
      <w:r>
        <w:rPr>
          <w:rFonts w:hint="default" w:ascii="Times New Roman"/>
          <w:color w:val="auto"/>
          <w:szCs w:val="18"/>
        </w:rPr>
        <w:t>原料或能源</w:t>
      </w:r>
      <w:r>
        <w:rPr>
          <w:rFonts w:hint="default" w:ascii="Times New Roman" w:cs="Times New Roman"/>
          <w:i w:val="0"/>
          <w:color w:val="auto"/>
          <w:szCs w:val="18"/>
          <w:lang w:val="en-US" w:eastAsia="zh-CN"/>
        </w:rPr>
        <w:t>温室气体排放因子</w:t>
      </w:r>
      <w:r>
        <w:rPr>
          <w:rFonts w:hint="default" w:ascii="Times New Roman" w:cs="Times New Roman"/>
          <w:i w:val="0"/>
          <w:iCs w:val="0"/>
          <w:color w:val="auto"/>
          <w:szCs w:val="18"/>
          <w:vertAlign w:val="baseline"/>
          <w:lang w:val="en-US" w:eastAsia="zh-CN"/>
        </w:rPr>
        <w:t>应满</w:t>
      </w:r>
      <w:r>
        <w:rPr>
          <w:rFonts w:hint="default" w:ascii="Times New Roman" w:hAnsi="Times New Roman" w:cs="Times New Roman"/>
          <w:i w:val="0"/>
          <w:iCs/>
          <w:color w:val="auto"/>
          <w:szCs w:val="18"/>
          <w:vertAlign w:val="baseline"/>
          <w:lang w:val="en-US" w:eastAsia="zh-CN"/>
        </w:rPr>
        <w:t>足如下要求：</w:t>
      </w:r>
    </w:p>
    <w:p w14:paraId="0EEB9ACA">
      <w:pPr>
        <w:pStyle w:val="151"/>
        <w:keepNext w:val="0"/>
        <w:keepLines w:val="0"/>
        <w:pageBreakBefore w:val="0"/>
        <w:widowControl/>
        <w:numPr>
          <w:ilvl w:val="0"/>
          <w:numId w:val="19"/>
        </w:numPr>
        <w:kinsoku/>
        <w:wordWrap/>
        <w:overflowPunct/>
        <w:topLinePunct w:val="0"/>
        <w:autoSpaceDE/>
        <w:autoSpaceDN/>
        <w:bidi w:val="0"/>
        <w:adjustRightInd/>
        <w:snapToGrid/>
        <w:spacing w:line="360" w:lineRule="auto"/>
        <w:ind w:leftChars="0" w:firstLine="420" w:firstLineChars="0"/>
        <w:jc w:val="left"/>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电力排放因子应与电力属性对应；</w:t>
      </w:r>
    </w:p>
    <w:p w14:paraId="2CFF41B1">
      <w:pPr>
        <w:pStyle w:val="151"/>
        <w:keepNext w:val="0"/>
        <w:keepLines w:val="0"/>
        <w:pageBreakBefore w:val="0"/>
        <w:widowControl/>
        <w:numPr>
          <w:ilvl w:val="0"/>
          <w:numId w:val="19"/>
        </w:numPr>
        <w:kinsoku/>
        <w:wordWrap/>
        <w:overflowPunct/>
        <w:topLinePunct w:val="0"/>
        <w:autoSpaceDE/>
        <w:autoSpaceDN/>
        <w:bidi w:val="0"/>
        <w:adjustRightInd/>
        <w:snapToGrid/>
        <w:spacing w:line="360" w:lineRule="auto"/>
        <w:ind w:leftChars="0" w:firstLine="420" w:firstLineChars="0"/>
        <w:jc w:val="left"/>
        <w:textAlignment w:val="auto"/>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熟料产品中</w:t>
      </w:r>
      <w:r>
        <w:rPr>
          <w:rFonts w:hint="default" w:ascii="Times New Roman" w:hAnsi="Times New Roman" w:cs="Times New Roman" w:eastAsiaTheme="minorEastAsia"/>
          <w:color w:val="auto"/>
          <w:szCs w:val="21"/>
          <w:lang w:val="en-US" w:eastAsia="zh-CN"/>
        </w:rPr>
        <w:t>电石渣、熟石灰、镁渣、铁合金炉渣、钢渣、黄磷渣、钒钛渣、氮渣、造纸白泥、飞灰、脱硫石膏、磷石膏、钛石膏、氟石膏、硼石膏、模型石膏、硫酸渣、镍渣、锰渣、锌渣、锡渣等利废原料获取阶段温室气体排放因子为0</w:t>
      </w:r>
      <w:r>
        <w:rPr>
          <w:rFonts w:hint="default" w:ascii="Times New Roman" w:hAnsi="Times New Roman" w:cs="Times New Roman"/>
          <w:color w:val="auto"/>
          <w:szCs w:val="21"/>
          <w:lang w:val="en-US" w:eastAsia="zh-CN"/>
        </w:rPr>
        <w:t>；</w:t>
      </w:r>
    </w:p>
    <w:p w14:paraId="3D93F301">
      <w:pPr>
        <w:pStyle w:val="151"/>
        <w:keepNext w:val="0"/>
        <w:keepLines w:val="0"/>
        <w:pageBreakBefore w:val="0"/>
        <w:widowControl/>
        <w:numPr>
          <w:ilvl w:val="0"/>
          <w:numId w:val="19"/>
        </w:numPr>
        <w:kinsoku/>
        <w:wordWrap/>
        <w:overflowPunct/>
        <w:topLinePunct w:val="0"/>
        <w:autoSpaceDE/>
        <w:autoSpaceDN/>
        <w:bidi w:val="0"/>
        <w:adjustRightInd/>
        <w:snapToGrid/>
        <w:spacing w:beforeLines="0" w:afterLines="0" w:line="360" w:lineRule="auto"/>
        <w:ind w:leftChars="0" w:firstLine="420"/>
        <w:textAlignment w:val="auto"/>
        <w:outlineLvl w:val="9"/>
        <w:rPr>
          <w:rFonts w:hint="default" w:ascii="Times New Roman" w:hAnsi="Times New Roman" w:cs="Times New Roman"/>
          <w:i w:val="0"/>
          <w:color w:val="auto"/>
          <w:szCs w:val="18"/>
        </w:rPr>
      </w:pPr>
      <w:r>
        <w:rPr>
          <w:rFonts w:hint="default" w:ascii="Times New Roman" w:hAnsi="Times New Roman" w:cs="Times New Roman"/>
          <w:color w:val="auto"/>
          <w:szCs w:val="21"/>
          <w:lang w:val="en-US" w:eastAsia="zh-CN"/>
        </w:rPr>
        <w:t>水泥产品中利废原料掺量占比小于原料总量25%时，获取阶段温室气体排放因子为0，仅计算运输阶段温室气体排放量；当利废原料掺量占比大于等于原料总量25%时，</w:t>
      </w:r>
      <w:r>
        <w:rPr>
          <w:rFonts w:ascii="Times New Roman" w:hAnsi="Times New Roman" w:eastAsia="宋体" w:cs="Times New Roman"/>
        </w:rPr>
        <w:t>温室气体排放因子应依据上游产品系统边界的分配原则计算。</w:t>
      </w:r>
    </w:p>
    <w:p w14:paraId="5E1A8980">
      <w:pPr>
        <w:pStyle w:val="46"/>
        <w:numPr>
          <w:ilvl w:val="2"/>
          <w:numId w:val="10"/>
        </w:numPr>
        <w:spacing w:beforeLines="0" w:afterLines="0" w:line="276" w:lineRule="auto"/>
        <w:ind w:left="0" w:firstLine="0"/>
        <w:outlineLvl w:val="9"/>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运输过程（A2）</w:t>
      </w:r>
    </w:p>
    <w:p w14:paraId="4A15EC58">
      <w:pPr>
        <w:pStyle w:val="46"/>
        <w:keepNext w:val="0"/>
        <w:keepLines w:val="0"/>
        <w:pageBreakBefore w:val="0"/>
        <w:widowControl/>
        <w:numPr>
          <w:ilvl w:val="1"/>
          <w:numId w:val="0"/>
        </w:numPr>
        <w:kinsoku/>
        <w:wordWrap/>
        <w:overflowPunct/>
        <w:topLinePunct w:val="0"/>
        <w:autoSpaceDE/>
        <w:autoSpaceDN/>
        <w:bidi w:val="0"/>
        <w:adjustRightInd/>
        <w:snapToGrid/>
        <w:spacing w:beforeLines="0" w:afterLines="0" w:line="360" w:lineRule="auto"/>
        <w:ind w:leftChars="0"/>
        <w:jc w:val="right"/>
        <w:textAlignment w:val="auto"/>
        <w:outlineLvl w:val="9"/>
        <w:rPr>
          <w:rFonts w:hint="default" w:ascii="Times New Roman" w:hAnsi="Times New Roman" w:eastAsia="黑体" w:cs="Times New Roman"/>
          <w:i w:val="0"/>
          <w:lang w:val="en-US" w:eastAsia="zh-CN"/>
        </w:rPr>
      </w:pPr>
      <m:oMath>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A2</m:t>
            </m:r>
            <m:r>
              <m:rPr/>
              <w:rPr>
                <w:rFonts w:hint="default" w:ascii="Cambria Math" w:hAnsi="Cambria Math" w:cs="Times New Roman"/>
                <w:szCs w:val="21"/>
              </w:rPr>
              <m:t>,i</m:t>
            </m:r>
            <m:ctrlPr>
              <w:rPr>
                <w:rFonts w:hint="default" w:ascii="Cambria Math" w:hAnsi="Cambria Math" w:cs="Times New Roman"/>
                <w:szCs w:val="21"/>
              </w:rPr>
            </m:ctrlPr>
          </m:sub>
        </m:sSub>
        <m:r>
          <m:rPr>
            <m:sty m:val="p"/>
          </m:rPr>
          <w:rPr>
            <w:rFonts w:hint="default" w:ascii="Cambria Math" w:hAnsi="Cambria Math" w:cs="Times New Roman"/>
            <w:szCs w:val="21"/>
            <w:lang w:val="en-US" w:eastAsia="zh-CN"/>
          </w:rPr>
          <m:t>=</m:t>
        </m:r>
        <m:nary>
          <m:naryPr>
            <m:chr m:val="∑"/>
            <m:subHide m:val="1"/>
            <m:supHide m:val="1"/>
            <m:ctrlPr>
              <w:rPr>
                <w:rFonts w:hint="default" w:ascii="Cambria Math" w:hAnsi="Cambria Math" w:cs="Times New Roman"/>
                <w:i/>
              </w:rPr>
            </m:ctrlPr>
          </m:naryPr>
          <m:sub>
            <m:ctrlPr>
              <w:rPr>
                <w:rFonts w:hint="default" w:ascii="Cambria Math" w:hAnsi="Cambria Math" w:cs="Times New Roman"/>
                <w:i/>
              </w:rPr>
            </m:ctrlPr>
          </m:sub>
          <m:sup>
            <m:ctrlPr>
              <w:rPr>
                <w:rFonts w:hint="default" w:ascii="Cambria Math" w:hAnsi="Cambria Math" w:cs="Times New Roman"/>
                <w:i/>
              </w:rPr>
            </m:ctrlPr>
          </m:sup>
          <m:e>
            <m:d>
              <m:dPr>
                <m:ctrlPr>
                  <w:rPr>
                    <w:rFonts w:hint="default" w:ascii="Cambria Math" w:hAnsi="Cambria Math" w:cs="Times New Roman"/>
                    <w:i/>
                  </w:rPr>
                </m:ctrlPr>
              </m:dPr>
              <m:e>
                <m:sSub>
                  <m:sSubPr>
                    <m:ctrlPr>
                      <w:rPr>
                        <w:rFonts w:hint="default" w:ascii="Cambria Math" w:hAnsi="Cambria Math" w:cs="Times New Roman"/>
                        <w:i/>
                      </w:rPr>
                    </m:ctrlPr>
                  </m:sSubPr>
                  <m:e>
                    <m:r>
                      <m:rPr/>
                      <w:rPr>
                        <w:rFonts w:hint="default" w:ascii="Cambria Math" w:hAnsi="Cambria Math" w:cs="Times New Roman"/>
                      </w:rPr>
                      <m:t>M</m:t>
                    </m:r>
                    <m:ctrlPr>
                      <w:rPr>
                        <w:rFonts w:hint="default" w:ascii="Cambria Math" w:hAnsi="Cambria Math" w:cs="Times New Roman"/>
                        <w:i/>
                      </w:rPr>
                    </m:ctrlPr>
                  </m:e>
                  <m:sub>
                    <m:r>
                      <m:rPr>
                        <m:nor/>
                      </m:rPr>
                      <w:rPr>
                        <w:rFonts w:hint="default" w:ascii="Cambria Math" w:hAnsi="Cambria Math" w:cs="Times New Roman"/>
                        <w:i/>
                      </w:rPr>
                      <m:t>j</m:t>
                    </m:r>
                    <m:ctrlPr>
                      <w:rPr>
                        <w:rFonts w:hint="default" w:ascii="Cambria Math" w:hAnsi="Cambria Math" w:cs="Times New Roman"/>
                        <w:i/>
                      </w:rPr>
                    </m:ctrlPr>
                  </m:sub>
                </m:sSub>
                <m:r>
                  <m:rPr/>
                  <w:rPr>
                    <w:rFonts w:hint="default" w:ascii="Cambria Math" w:hAnsi="Cambria Math" w:cs="Times New Roman"/>
                  </w:rPr>
                  <m:t>×</m:t>
                </m:r>
                <m:sSub>
                  <m:sSubPr>
                    <m:ctrlPr>
                      <w:rPr>
                        <w:rFonts w:hint="default" w:ascii="Cambria Math" w:hAnsi="Cambria Math" w:cs="Times New Roman"/>
                        <w:i/>
                      </w:rPr>
                    </m:ctrlPr>
                  </m:sSubPr>
                  <m:e>
                    <m:r>
                      <m:rPr/>
                      <w:rPr>
                        <w:rFonts w:hint="default" w:ascii="Cambria Math" w:hAnsi="Cambria Math" w:cs="Times New Roman"/>
                      </w:rPr>
                      <m:t>D</m:t>
                    </m:r>
                    <m:ctrlPr>
                      <w:rPr>
                        <w:rFonts w:hint="default" w:ascii="Cambria Math" w:hAnsi="Cambria Math" w:cs="Times New Roman"/>
                        <w:i/>
                      </w:rPr>
                    </m:ctrlPr>
                  </m:e>
                  <m:sub>
                    <m:r>
                      <m:rPr/>
                      <w:rPr>
                        <w:rFonts w:hint="default" w:ascii="Cambria Math" w:hAnsi="Cambria Math" w:cs="Times New Roman"/>
                      </w:rPr>
                      <m:t>j,k</m:t>
                    </m:r>
                    <m:ctrlPr>
                      <w:rPr>
                        <w:rFonts w:hint="default" w:ascii="Cambria Math" w:hAnsi="Cambria Math" w:cs="Times New Roman"/>
                        <w:i/>
                      </w:rPr>
                    </m:ctrlPr>
                  </m:sub>
                </m:sSub>
                <m:r>
                  <m:rPr/>
                  <w:rPr>
                    <w:rFonts w:hint="default" w:ascii="Cambria Math" w:hAnsi="Cambria Math" w:cs="Times New Roman"/>
                  </w:rPr>
                  <m:t>×TE</m:t>
                </m:r>
                <m:sSub>
                  <m:sSubPr>
                    <m:ctrlPr>
                      <w:rPr>
                        <w:rFonts w:hint="default" w:ascii="Cambria Math" w:hAnsi="Cambria Math" w:cs="Times New Roman"/>
                        <w:i/>
                      </w:rPr>
                    </m:ctrlPr>
                  </m:sSubPr>
                  <m:e>
                    <m:r>
                      <m:rPr/>
                      <w:rPr>
                        <w:rFonts w:hint="default" w:ascii="Cambria Math" w:hAnsi="Cambria Math" w:cs="Times New Roman"/>
                      </w:rPr>
                      <m:t>F</m:t>
                    </m:r>
                    <m:ctrlPr>
                      <w:rPr>
                        <w:rFonts w:hint="default" w:ascii="Cambria Math" w:hAnsi="Cambria Math" w:cs="Times New Roman"/>
                        <w:i/>
                      </w:rPr>
                    </m:ctrlPr>
                  </m:e>
                  <m:sub>
                    <m:r>
                      <m:rPr>
                        <m:nor/>
                      </m:rPr>
                      <w:rPr>
                        <w:rFonts w:hint="default" w:ascii="Cambria Math" w:hAnsi="Cambria Math" w:cs="Times New Roman"/>
                        <w:i/>
                      </w:rPr>
                      <m:t>i,k</m:t>
                    </m:r>
                    <m:ctrlPr>
                      <w:rPr>
                        <w:rFonts w:hint="default" w:ascii="Cambria Math" w:hAnsi="Cambria Math" w:cs="Times New Roman"/>
                        <w:i/>
                      </w:rPr>
                    </m:ctrlPr>
                  </m:sub>
                </m:sSub>
                <m:ctrlPr>
                  <w:rPr>
                    <w:rFonts w:hint="default" w:ascii="Cambria Math" w:hAnsi="Cambria Math" w:cs="Times New Roman"/>
                    <w:i/>
                  </w:rPr>
                </m:ctrlPr>
              </m:e>
            </m:d>
            <m:ctrlPr>
              <w:rPr>
                <w:rFonts w:hint="default" w:ascii="Cambria Math" w:hAnsi="Cambria Math" w:cs="Times New Roman"/>
                <w:i/>
              </w:rPr>
            </m:ctrlPr>
          </m:e>
        </m:nary>
      </m:oMath>
      <w:r>
        <w:rPr>
          <w:rFonts w:hint="default" w:ascii="Times New Roman" w:hAnsi="Times New Roman" w:cs="Times New Roman"/>
          <w:i w:val="0"/>
          <w:lang w:val="en-US" w:eastAsia="zh-CN"/>
        </w:rPr>
        <w:t xml:space="preserve">                   </w:t>
      </w:r>
      <w:r>
        <w:rPr>
          <w:rFonts w:hint="eastAsia" w:ascii="Times New Roman" w:cs="Times New Roman"/>
          <w:i w:val="0"/>
          <w:lang w:val="en-US" w:eastAsia="zh-CN"/>
        </w:rPr>
        <w:t xml:space="preserve">  </w:t>
      </w:r>
      <w:r>
        <w:rPr>
          <w:rFonts w:hint="default" w:ascii="Times New Roman" w:hAnsi="Times New Roman" w:cs="Times New Roman"/>
          <w:i w:val="0"/>
          <w:lang w:val="en-US" w:eastAsia="zh-CN"/>
        </w:rPr>
        <w:t xml:space="preserve">        （4）</w:t>
      </w:r>
    </w:p>
    <w:p w14:paraId="0449589F">
      <w:pPr>
        <w:spacing w:line="360" w:lineRule="auto"/>
        <w:ind w:firstLine="420" w:firstLineChars="200"/>
        <w:rPr>
          <w:rFonts w:hint="default" w:ascii="Times New Roman" w:hAnsi="Times New Roman" w:cs="Times New Roman"/>
        </w:rPr>
      </w:pPr>
      <w:r>
        <w:rPr>
          <w:rFonts w:hint="default" w:ascii="Times New Roman" w:hAnsi="Times New Roman" w:cs="Times New Roman"/>
        </w:rPr>
        <w:t>式中：</w:t>
      </w:r>
    </w:p>
    <w:tbl>
      <w:tblPr>
        <w:tblStyle w:val="36"/>
        <w:tblW w:w="9539"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2"/>
        <w:gridCol w:w="426"/>
        <w:gridCol w:w="8391"/>
      </w:tblGrid>
      <w:tr w14:paraId="54141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722" w:type="dxa"/>
          </w:tcPr>
          <w:p w14:paraId="3DF8A00B">
            <w:pPr>
              <w:pStyle w:val="26"/>
              <w:adjustRightInd w:val="0"/>
              <w:snapToGrid w:val="0"/>
              <w:spacing w:line="360" w:lineRule="auto"/>
              <w:ind w:firstLine="0" w:firstLineChars="0"/>
              <w:jc w:val="left"/>
              <w:rPr>
                <w:rFonts w:hint="default" w:ascii="Times New Roman" w:hAnsi="Times New Roman" w:eastAsia="宋体" w:cs="Times New Roman"/>
                <w:i/>
                <w:iCs/>
                <w:color w:val="auto"/>
                <w:szCs w:val="18"/>
              </w:rPr>
            </w:pPr>
            <w:r>
              <w:rPr>
                <w:rFonts w:hint="default" w:ascii="Times New Roman" w:hAnsi="Times New Roman" w:eastAsia="宋体" w:cs="Times New Roman"/>
                <w:i/>
                <w:iCs/>
                <w:color w:val="auto"/>
                <w:szCs w:val="18"/>
                <w:lang w:val="en-US"/>
              </w:rPr>
              <w:t>M</w:t>
            </w:r>
            <w:r>
              <w:rPr>
                <w:rFonts w:hint="default" w:ascii="Times New Roman" w:hAnsi="Times New Roman" w:eastAsia="宋体" w:cs="Times New Roman"/>
                <w:i/>
                <w:iCs/>
                <w:color w:val="auto"/>
                <w:szCs w:val="18"/>
                <w:vertAlign w:val="subscript"/>
              </w:rPr>
              <w:t>j</w:t>
            </w:r>
          </w:p>
        </w:tc>
        <w:tc>
          <w:tcPr>
            <w:tcW w:w="426" w:type="dxa"/>
          </w:tcPr>
          <w:p w14:paraId="6631E002">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391" w:type="dxa"/>
          </w:tcPr>
          <w:p w14:paraId="2B7C7D7A">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18"/>
              </w:rPr>
              <w:t>第</w:t>
            </w:r>
            <w:r>
              <w:rPr>
                <w:rFonts w:hint="default" w:ascii="Times New Roman" w:hAnsi="Times New Roman" w:eastAsia="宋体" w:cs="Times New Roman"/>
                <w:i/>
                <w:iCs/>
                <w:color w:val="auto"/>
                <w:szCs w:val="18"/>
              </w:rPr>
              <w:t>j</w:t>
            </w:r>
            <w:r>
              <w:rPr>
                <w:rFonts w:hint="default" w:ascii="Times New Roman" w:hAnsi="Times New Roman" w:eastAsia="宋体" w:cs="Times New Roman"/>
                <w:color w:val="auto"/>
                <w:szCs w:val="18"/>
              </w:rPr>
              <w:t>种</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w:t>
            </w:r>
            <w:r>
              <w:rPr>
                <w:rFonts w:hint="eastAsia" w:ascii="Times New Roman" w:cs="Times New Roman"/>
                <w:color w:val="auto"/>
                <w:szCs w:val="18"/>
                <w:lang w:eastAsia="zh-CN"/>
              </w:rPr>
              <w:t>（</w:t>
            </w:r>
            <w:r>
              <w:rPr>
                <w:rFonts w:hint="eastAsia" w:ascii="Times New Roman" w:cs="Times New Roman"/>
                <w:color w:val="auto"/>
                <w:szCs w:val="18"/>
                <w:lang w:val="en-US" w:eastAsia="zh-CN"/>
              </w:rPr>
              <w:t>仅包含燃料</w:t>
            </w:r>
            <w:r>
              <w:rPr>
                <w:rFonts w:hint="eastAsia" w:ascii="Times New Roman" w:cs="Times New Roman"/>
                <w:color w:val="auto"/>
                <w:szCs w:val="18"/>
                <w:lang w:eastAsia="zh-CN"/>
              </w:rPr>
              <w:t>）</w:t>
            </w:r>
            <w:r>
              <w:rPr>
                <w:rFonts w:hint="default" w:ascii="Times New Roman" w:hAnsi="Times New Roman" w:eastAsia="宋体" w:cs="Times New Roman"/>
                <w:color w:val="auto"/>
                <w:szCs w:val="18"/>
                <w:lang w:val="en-US"/>
              </w:rPr>
              <w:t>消耗</w:t>
            </w:r>
            <w:r>
              <w:rPr>
                <w:rFonts w:hint="default" w:ascii="Times New Roman" w:hAnsi="Times New Roman" w:eastAsia="宋体" w:cs="Times New Roman"/>
                <w:color w:val="auto"/>
                <w:szCs w:val="18"/>
              </w:rPr>
              <w:t>量，单位为</w:t>
            </w:r>
            <w:r>
              <w:rPr>
                <w:rFonts w:hint="eastAsia" w:ascii="Times New Roman" w:cs="Times New Roman"/>
                <w:color w:val="auto"/>
                <w:szCs w:val="18"/>
                <w:lang w:val="en-US" w:eastAsia="zh-CN"/>
              </w:rPr>
              <w:t>吨</w:t>
            </w:r>
            <w:r>
              <w:rPr>
                <w:rFonts w:hint="default" w:ascii="Times New Roman" w:hAnsi="Times New Roman" w:eastAsia="宋体" w:cs="Times New Roman"/>
                <w:color w:val="auto"/>
                <w:szCs w:val="18"/>
              </w:rPr>
              <w:t>（</w:t>
            </w:r>
            <w:r>
              <w:rPr>
                <w:rFonts w:hint="eastAsia" w:ascii="Times New Roman" w:cs="Times New Roman"/>
                <w:color w:val="auto"/>
                <w:szCs w:val="18"/>
                <w:lang w:val="en-US" w:eastAsia="zh-CN"/>
              </w:rPr>
              <w:t>t</w:t>
            </w:r>
            <w:r>
              <w:rPr>
                <w:rFonts w:hint="default" w:ascii="Times New Roman" w:hAnsi="Times New Roman" w:eastAsia="宋体" w:cs="Times New Roman"/>
                <w:color w:val="auto"/>
                <w:szCs w:val="18"/>
              </w:rPr>
              <w:t>）；</w:t>
            </w:r>
          </w:p>
        </w:tc>
      </w:tr>
      <w:tr w14:paraId="32ED7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722" w:type="dxa"/>
          </w:tcPr>
          <w:p w14:paraId="2B997384">
            <w:pPr>
              <w:pStyle w:val="26"/>
              <w:adjustRightInd w:val="0"/>
              <w:snapToGrid w:val="0"/>
              <w:spacing w:line="360" w:lineRule="auto"/>
              <w:ind w:firstLine="0" w:firstLineChars="0"/>
              <w:jc w:val="left"/>
              <w:rPr>
                <w:rFonts w:hint="default" w:ascii="Times New Roman" w:hAnsi="Times New Roman" w:eastAsia="宋体" w:cs="Times New Roman"/>
                <w:i/>
                <w:iCs/>
                <w:color w:val="auto"/>
                <w:szCs w:val="18"/>
              </w:rPr>
            </w:pPr>
            <w:r>
              <w:rPr>
                <w:rFonts w:hint="default" w:ascii="Times New Roman" w:hAnsi="Times New Roman" w:eastAsia="宋体" w:cs="Times New Roman"/>
                <w:i/>
                <w:iCs/>
                <w:color w:val="auto"/>
                <w:szCs w:val="18"/>
              </w:rPr>
              <w:t>D</w:t>
            </w:r>
            <w:r>
              <w:rPr>
                <w:rFonts w:hint="default" w:ascii="Times New Roman" w:hAnsi="Times New Roman" w:eastAsia="宋体" w:cs="Times New Roman"/>
                <w:i/>
                <w:iCs/>
                <w:color w:val="auto"/>
                <w:szCs w:val="18"/>
                <w:vertAlign w:val="subscript"/>
              </w:rPr>
              <w:t>j,k</w:t>
            </w:r>
          </w:p>
        </w:tc>
        <w:tc>
          <w:tcPr>
            <w:tcW w:w="426" w:type="dxa"/>
          </w:tcPr>
          <w:p w14:paraId="38AC9B1A">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391" w:type="dxa"/>
          </w:tcPr>
          <w:p w14:paraId="5256D1B6">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iCs/>
                <w:color w:val="auto"/>
                <w:szCs w:val="18"/>
              </w:rPr>
              <w:t>第</w:t>
            </w:r>
            <w:r>
              <w:rPr>
                <w:rFonts w:hint="default" w:ascii="Times New Roman" w:hAnsi="Times New Roman" w:eastAsia="宋体" w:cs="Times New Roman"/>
                <w:i/>
                <w:iCs w:val="0"/>
                <w:color w:val="auto"/>
                <w:szCs w:val="18"/>
              </w:rPr>
              <w:t>j</w:t>
            </w:r>
            <w:r>
              <w:rPr>
                <w:rFonts w:hint="default" w:ascii="Times New Roman" w:hAnsi="Times New Roman" w:eastAsia="宋体" w:cs="Times New Roman"/>
                <w:iCs/>
                <w:color w:val="auto"/>
                <w:szCs w:val="18"/>
              </w:rPr>
              <w:t>种</w:t>
            </w:r>
            <w:r>
              <w:rPr>
                <w:rFonts w:hint="default" w:ascii="Times New Roman" w:hAnsi="Times New Roman" w:cs="Times New Roman"/>
                <w:color w:val="auto"/>
                <w:szCs w:val="18"/>
                <w:lang w:eastAsia="zh-CN"/>
              </w:rPr>
              <w:t>原料</w:t>
            </w:r>
            <w:r>
              <w:rPr>
                <w:rFonts w:hint="default" w:ascii="Times New Roman" w:hAnsi="Times New Roman" w:eastAsia="宋体" w:cs="Times New Roman"/>
                <w:color w:val="auto"/>
                <w:szCs w:val="18"/>
              </w:rPr>
              <w:t>或能源</w:t>
            </w:r>
            <w:r>
              <w:rPr>
                <w:rFonts w:hint="eastAsia" w:ascii="Times New Roman" w:cs="Times New Roman"/>
                <w:color w:val="auto"/>
                <w:szCs w:val="18"/>
                <w:lang w:eastAsia="zh-CN"/>
              </w:rPr>
              <w:t>（</w:t>
            </w:r>
            <w:r>
              <w:rPr>
                <w:rFonts w:hint="eastAsia" w:ascii="Times New Roman" w:cs="Times New Roman"/>
                <w:color w:val="auto"/>
                <w:szCs w:val="18"/>
                <w:lang w:val="en-US" w:eastAsia="zh-CN"/>
              </w:rPr>
              <w:t>仅包含燃料</w:t>
            </w:r>
            <w:r>
              <w:rPr>
                <w:rFonts w:hint="eastAsia" w:ascii="Times New Roman" w:cs="Times New Roman"/>
                <w:color w:val="auto"/>
                <w:szCs w:val="18"/>
                <w:lang w:eastAsia="zh-CN"/>
              </w:rPr>
              <w:t>）</w:t>
            </w:r>
            <w:r>
              <w:rPr>
                <w:rFonts w:hint="eastAsia" w:ascii="Times New Roman" w:cs="Times New Roman"/>
                <w:color w:val="auto"/>
                <w:szCs w:val="18"/>
                <w:lang w:val="en-US" w:eastAsia="zh-CN"/>
              </w:rPr>
              <w:t>的</w:t>
            </w:r>
            <w:r>
              <w:rPr>
                <w:rFonts w:hint="default" w:ascii="Times New Roman" w:hAnsi="Times New Roman" w:eastAsia="宋体" w:cs="Times New Roman"/>
                <w:color w:val="auto"/>
                <w:szCs w:val="18"/>
              </w:rPr>
              <w:t>第</w:t>
            </w:r>
            <w:r>
              <w:rPr>
                <w:rFonts w:hint="default" w:ascii="Times New Roman" w:hAnsi="Times New Roman" w:eastAsia="宋体" w:cs="Times New Roman"/>
                <w:i/>
                <w:iCs/>
                <w:color w:val="auto"/>
                <w:szCs w:val="18"/>
              </w:rPr>
              <w:t>k</w:t>
            </w:r>
            <w:r>
              <w:rPr>
                <w:rFonts w:hint="default" w:ascii="Times New Roman" w:hAnsi="Times New Roman" w:eastAsia="宋体" w:cs="Times New Roman"/>
                <w:color w:val="auto"/>
                <w:szCs w:val="18"/>
              </w:rPr>
              <w:t>种运输方式</w:t>
            </w:r>
            <w:r>
              <w:rPr>
                <w:rFonts w:hint="eastAsia" w:ascii="Times New Roman" w:cs="Times New Roman"/>
                <w:color w:val="auto"/>
                <w:szCs w:val="18"/>
                <w:lang w:val="en-US" w:eastAsia="zh-CN"/>
              </w:rPr>
              <w:t>对应</w:t>
            </w:r>
            <w:r>
              <w:rPr>
                <w:rFonts w:hint="default" w:ascii="Times New Roman" w:hAnsi="Times New Roman" w:eastAsia="宋体" w:cs="Times New Roman"/>
                <w:color w:val="auto"/>
                <w:szCs w:val="18"/>
              </w:rPr>
              <w:t>的加权运输距离，单位为千米（km）；</w:t>
            </w:r>
          </w:p>
        </w:tc>
      </w:tr>
      <w:tr w14:paraId="7894D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atLeast"/>
          <w:jc w:val="right"/>
        </w:trPr>
        <w:tc>
          <w:tcPr>
            <w:tcW w:w="722" w:type="dxa"/>
          </w:tcPr>
          <w:p w14:paraId="54CA8B22">
            <w:pPr>
              <w:pStyle w:val="26"/>
              <w:adjustRightInd w:val="0"/>
              <w:snapToGrid w:val="0"/>
              <w:spacing w:line="360" w:lineRule="auto"/>
              <w:ind w:firstLine="0" w:firstLineChars="0"/>
              <w:jc w:val="left"/>
              <w:rPr>
                <w:rFonts w:hint="default" w:ascii="Times New Roman" w:hAnsi="Times New Roman" w:eastAsia="宋体" w:cs="Times New Roman"/>
                <w:i/>
                <w:iCs/>
                <w:color w:val="auto"/>
                <w:szCs w:val="18"/>
              </w:rPr>
            </w:pPr>
            <w:r>
              <w:rPr>
                <w:rFonts w:hint="default" w:ascii="Times New Roman" w:hAnsi="Times New Roman" w:eastAsia="宋体" w:cs="Times New Roman"/>
                <w:i/>
                <w:iCs/>
                <w:color w:val="auto"/>
                <w:szCs w:val="18"/>
              </w:rPr>
              <w:t>TEF</w:t>
            </w:r>
            <w:r>
              <w:rPr>
                <w:rFonts w:hint="default" w:ascii="Times New Roman" w:hAnsi="Times New Roman" w:eastAsia="宋体" w:cs="Times New Roman"/>
                <w:i/>
                <w:iCs/>
                <w:color w:val="auto"/>
                <w:szCs w:val="18"/>
                <w:vertAlign w:val="subscript"/>
              </w:rPr>
              <w:t>i,k</w:t>
            </w:r>
          </w:p>
        </w:tc>
        <w:tc>
          <w:tcPr>
            <w:tcW w:w="426" w:type="dxa"/>
          </w:tcPr>
          <w:p w14:paraId="03E21F41">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color w:val="auto"/>
                <w:szCs w:val="21"/>
              </w:rPr>
              <w:t>—</w:t>
            </w:r>
          </w:p>
        </w:tc>
        <w:tc>
          <w:tcPr>
            <w:tcW w:w="8391" w:type="dxa"/>
          </w:tcPr>
          <w:p w14:paraId="33298B3C">
            <w:pPr>
              <w:pStyle w:val="26"/>
              <w:spacing w:line="360" w:lineRule="auto"/>
              <w:ind w:firstLine="0" w:firstLineChars="0"/>
              <w:rPr>
                <w:rFonts w:hint="default" w:ascii="Times New Roman" w:hAnsi="Times New Roman" w:eastAsia="宋体" w:cs="Times New Roman"/>
                <w:color w:val="auto"/>
                <w:szCs w:val="18"/>
              </w:rPr>
            </w:pPr>
            <w:r>
              <w:rPr>
                <w:rFonts w:hint="default" w:ascii="Times New Roman" w:hAnsi="Times New Roman" w:eastAsia="宋体" w:cs="Times New Roman"/>
                <w:iCs/>
                <w:color w:val="auto"/>
                <w:szCs w:val="18"/>
              </w:rPr>
              <w:t>第</w:t>
            </w:r>
            <w:r>
              <w:rPr>
                <w:rFonts w:hint="default" w:ascii="Times New Roman" w:hAnsi="Times New Roman" w:eastAsia="宋体" w:cs="Times New Roman"/>
                <w:i/>
                <w:iCs w:val="0"/>
                <w:color w:val="auto"/>
                <w:szCs w:val="18"/>
              </w:rPr>
              <w:t>k</w:t>
            </w:r>
            <w:r>
              <w:rPr>
                <w:rFonts w:hint="default" w:ascii="Times New Roman" w:hAnsi="Times New Roman" w:eastAsia="宋体" w:cs="Times New Roman"/>
                <w:iCs/>
                <w:color w:val="auto"/>
                <w:szCs w:val="18"/>
              </w:rPr>
              <w:t>种运输方式</w:t>
            </w:r>
            <w:r>
              <w:rPr>
                <w:rFonts w:hint="eastAsia" w:ascii="Times New Roman" w:cs="Times New Roman"/>
                <w:iCs/>
                <w:color w:val="auto"/>
                <w:szCs w:val="18"/>
                <w:lang w:val="en-US" w:eastAsia="zh-CN"/>
              </w:rPr>
              <w:t>对应</w:t>
            </w:r>
            <w:r>
              <w:rPr>
                <w:rFonts w:hint="default" w:ascii="Times New Roman" w:hAnsi="Times New Roman" w:eastAsia="宋体" w:cs="Times New Roman"/>
                <w:iCs/>
                <w:color w:val="auto"/>
                <w:szCs w:val="18"/>
              </w:rPr>
              <w:t>的第</w:t>
            </w:r>
            <w:r>
              <w:rPr>
                <w:rFonts w:hint="default" w:ascii="Times New Roman" w:hAnsi="Times New Roman" w:eastAsia="宋体" w:cs="Times New Roman"/>
                <w:i/>
                <w:iCs w:val="0"/>
                <w:color w:val="auto"/>
                <w:szCs w:val="18"/>
              </w:rPr>
              <w:t>i</w:t>
            </w:r>
            <w:r>
              <w:rPr>
                <w:rFonts w:hint="default" w:ascii="Times New Roman" w:hAnsi="Times New Roman" w:eastAsia="宋体" w:cs="Times New Roman"/>
                <w:iCs/>
                <w:color w:val="auto"/>
                <w:szCs w:val="18"/>
              </w:rPr>
              <w:t>种温室气体排放因子，单位为</w:t>
            </w:r>
            <w:r>
              <w:rPr>
                <w:rFonts w:hint="default" w:ascii="Times New Roman" w:hAnsi="Times New Roman" w:eastAsia="宋体" w:cs="Times New Roman"/>
                <w:color w:val="auto"/>
                <w:szCs w:val="18"/>
              </w:rPr>
              <w:t>千克每</w:t>
            </w:r>
            <w:r>
              <w:rPr>
                <w:rFonts w:hint="eastAsia" w:ascii="Times New Roman" w:cs="Times New Roman"/>
                <w:color w:val="auto"/>
                <w:szCs w:val="18"/>
                <w:lang w:val="en-US" w:eastAsia="zh-CN"/>
              </w:rPr>
              <w:t>吨每</w:t>
            </w:r>
            <w:r>
              <w:rPr>
                <w:rFonts w:hint="default" w:ascii="Times New Roman" w:hAnsi="Times New Roman" w:eastAsia="宋体" w:cs="Times New Roman"/>
                <w:color w:val="auto"/>
                <w:szCs w:val="18"/>
              </w:rPr>
              <w:t>千米</w:t>
            </w:r>
            <w:r>
              <w:rPr>
                <w:rFonts w:hint="eastAsia" w:ascii="Times New Roman" w:cs="Times New Roman"/>
                <w:color w:val="auto"/>
                <w:szCs w:val="18"/>
                <w:lang w:val="en-US" w:eastAsia="zh-CN"/>
              </w:rPr>
              <w:t>[</w:t>
            </w:r>
            <w:r>
              <w:rPr>
                <w:rFonts w:hint="default" w:ascii="Times New Roman" w:hAnsi="Times New Roman" w:eastAsia="宋体" w:cs="Times New Roman"/>
                <w:color w:val="auto"/>
                <w:szCs w:val="18"/>
              </w:rPr>
              <w:t>kg/</w:t>
            </w:r>
            <w:r>
              <w:rPr>
                <w:rFonts w:hint="eastAsia" w:ascii="Times New Roman" w:cs="Times New Roman"/>
                <w:color w:val="auto"/>
                <w:szCs w:val="18"/>
                <w:lang w:val="en-US" w:eastAsia="zh-CN"/>
              </w:rPr>
              <w:t>(t</w:t>
            </w:r>
            <w:r>
              <w:rPr>
                <w:rFonts w:hint="default" w:ascii="Times New Roman" w:hAnsi="Times New Roman" w:eastAsia="宋体" w:cs="Times New Roman"/>
                <w:color w:val="auto"/>
                <w:szCs w:val="18"/>
              </w:rPr>
              <w:t xml:space="preserve"> km</w:t>
            </w:r>
            <w:r>
              <w:rPr>
                <w:rFonts w:hint="eastAsia" w:ascii="Times New Roman" w:cs="Times New Roman"/>
                <w:color w:val="auto"/>
                <w:szCs w:val="18"/>
                <w:lang w:val="en-US" w:eastAsia="zh-CN"/>
              </w:rPr>
              <w:t>)]</w:t>
            </w:r>
            <w:r>
              <w:rPr>
                <w:rFonts w:hint="default" w:ascii="Times New Roman" w:hAnsi="Times New Roman" w:eastAsia="宋体" w:cs="Times New Roman"/>
                <w:color w:val="auto"/>
                <w:szCs w:val="18"/>
              </w:rPr>
              <w:t>。</w:t>
            </w:r>
          </w:p>
        </w:tc>
      </w:tr>
    </w:tbl>
    <w:p w14:paraId="35213562">
      <w:pPr>
        <w:pStyle w:val="46"/>
        <w:numPr>
          <w:ilvl w:val="2"/>
          <w:numId w:val="10"/>
        </w:numPr>
        <w:spacing w:beforeLines="0" w:afterLines="0" w:line="276" w:lineRule="auto"/>
        <w:ind w:left="0" w:firstLine="0"/>
        <w:outlineLvl w:val="9"/>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产品生产过程（A3）</w:t>
      </w:r>
    </w:p>
    <w:p w14:paraId="3A118F4D">
      <w:pPr>
        <w:pStyle w:val="46"/>
        <w:keepNext w:val="0"/>
        <w:keepLines w:val="0"/>
        <w:pageBreakBefore w:val="0"/>
        <w:widowControl/>
        <w:numPr>
          <w:ilvl w:val="1"/>
          <w:numId w:val="0"/>
        </w:numPr>
        <w:kinsoku/>
        <w:wordWrap/>
        <w:overflowPunct/>
        <w:topLinePunct w:val="0"/>
        <w:autoSpaceDE/>
        <w:autoSpaceDN/>
        <w:bidi w:val="0"/>
        <w:adjustRightInd/>
        <w:snapToGrid w:val="0"/>
        <w:spacing w:beforeLines="0" w:afterLines="0" w:line="240" w:lineRule="auto"/>
        <w:ind w:leftChars="0" w:firstLine="420" w:firstLineChars="200"/>
        <w:textAlignment w:val="auto"/>
        <w:outlineLvl w:val="9"/>
        <w:rPr>
          <w:rFonts w:hint="default" w:ascii="Times New Roman" w:hAnsi="Times New Roman" w:eastAsia="宋体" w:cs="Times New Roman"/>
          <w:lang w:val="en-US" w:eastAsia="zh-CN"/>
        </w:rPr>
      </w:pPr>
      <w:r>
        <w:rPr>
          <w:rFonts w:hint="eastAsia" w:ascii="Times New Roman" w:eastAsia="宋体" w:cs="Times New Roman"/>
          <w:lang w:val="en-US" w:eastAsia="zh-CN"/>
        </w:rPr>
        <w:t>每声明单位</w:t>
      </w:r>
      <w:r>
        <w:rPr>
          <w:rFonts w:hint="default" w:ascii="Times New Roman" w:hAnsi="Times New Roman" w:eastAsia="宋体" w:cs="Times New Roman"/>
          <w:lang w:val="en-US" w:eastAsia="zh-CN"/>
        </w:rPr>
        <w:t>产品生产</w:t>
      </w:r>
      <w:r>
        <w:rPr>
          <w:rFonts w:hint="eastAsia" w:ascii="Times New Roman" w:eastAsia="宋体" w:cs="Times New Roman"/>
          <w:lang w:val="en-US" w:eastAsia="zh-CN"/>
        </w:rPr>
        <w:t>过程</w:t>
      </w:r>
      <w:r>
        <w:rPr>
          <w:rFonts w:hint="default" w:ascii="Times New Roman" w:hAnsi="Times New Roman" w:eastAsia="宋体" w:cs="Times New Roman"/>
          <w:lang w:val="en-US" w:eastAsia="zh-CN"/>
        </w:rPr>
        <w:t>的温室气体排放量</w:t>
      </w:r>
      <m:oMath>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A3,i</m:t>
            </m:r>
            <m:ctrlPr>
              <w:rPr>
                <w:rFonts w:hint="default" w:ascii="Cambria Math" w:hAnsi="Cambria Math" w:cs="Times New Roman"/>
                <w:szCs w:val="21"/>
              </w:rPr>
            </m:ctrlPr>
          </m:sub>
        </m:sSub>
      </m:oMath>
      <w:r>
        <w:rPr>
          <w:rFonts w:hint="default" w:ascii="Times New Roman" w:hAnsi="Times New Roman" w:eastAsia="宋体" w:cs="Times New Roman"/>
          <w:lang w:val="en-US" w:eastAsia="zh-CN"/>
        </w:rPr>
        <w:t>按式（5）计算</w:t>
      </w:r>
      <w:r>
        <w:rPr>
          <w:rFonts w:hint="eastAsia" w:ascii="Times New Roman" w:eastAsia="宋体" w:cs="Times New Roman"/>
          <w:lang w:val="en-US" w:eastAsia="zh-CN"/>
        </w:rPr>
        <w:t>。其中，对于粉磨站生产的水泥产品，</w:t>
      </w:r>
      <m:oMath>
        <m:sSub>
          <m:sSubPr>
            <m:ctrlPr>
              <w:rPr>
                <w:rFonts w:hint="eastAsia" w:ascii="Cambria Math" w:hAnsi="Cambria Math" w:eastAsia="宋体" w:cs="宋体"/>
                <w:i/>
                <w:iCs w:val="0"/>
                <w:szCs w:val="21"/>
              </w:rPr>
            </m:ctrlPr>
          </m:sSubPr>
          <m:e>
            <m:r>
              <m:rPr/>
              <w:rPr>
                <w:rFonts w:hint="default" w:ascii="Cambria Math" w:hAnsi="Cambria Math" w:eastAsia="宋体" w:cs="宋体"/>
                <w:szCs w:val="21"/>
              </w:rPr>
              <m:t>E</m:t>
            </m:r>
            <m:ctrlPr>
              <w:rPr>
                <w:rFonts w:hint="eastAsia" w:ascii="Cambria Math" w:hAnsi="Cambria Math" w:eastAsia="宋体" w:cs="宋体"/>
                <w:i/>
                <w:iCs w:val="0"/>
                <w:szCs w:val="21"/>
              </w:rPr>
            </m:ctrlPr>
          </m:e>
          <m:sub>
            <m:r>
              <m:rPr>
                <m:sty m:val="p"/>
              </m:rPr>
              <w:rPr>
                <w:rFonts w:hint="eastAsia" w:ascii="Cambria Math" w:hAnsi="Cambria Math" w:eastAsia="宋体" w:cs="宋体"/>
                <w:szCs w:val="21"/>
              </w:rPr>
              <m:t>燃烧</m:t>
            </m:r>
            <m:r>
              <m:rPr/>
              <w:rPr>
                <w:rFonts w:hint="default" w:ascii="Cambria Math" w:hAnsi="Cambria Math" w:eastAsia="宋体" w:cs="宋体"/>
                <w:szCs w:val="21"/>
                <w:lang w:val="en-US" w:eastAsia="zh-CN"/>
              </w:rPr>
              <m:t>2,i</m:t>
            </m:r>
            <m:ctrlPr>
              <w:rPr>
                <w:rFonts w:hint="eastAsia" w:ascii="Cambria Math" w:hAnsi="Cambria Math" w:eastAsia="宋体" w:cs="宋体"/>
                <w:i/>
                <w:iCs w:val="0"/>
                <w:szCs w:val="21"/>
              </w:rPr>
            </m:ctrlPr>
          </m:sub>
        </m:sSub>
      </m:oMath>
      <w:r>
        <w:rPr>
          <w:rFonts w:hint="eastAsia" w:ascii="宋体" w:hAnsi="宋体" w:eastAsia="宋体" w:cs="宋体"/>
          <w:i/>
          <w:iCs w:val="0"/>
          <w:szCs w:val="21"/>
          <w:lang w:val="en-US" w:eastAsia="zh-CN"/>
        </w:rPr>
        <w:t>、</w:t>
      </w:r>
      <m:oMath>
        <m:sSub>
          <m:sSubPr>
            <m:ctrlPr>
              <w:rPr>
                <w:rFonts w:hint="eastAsia" w:ascii="Cambria Math" w:hAnsi="Cambria Math" w:eastAsia="宋体" w:cs="宋体"/>
                <w:i/>
                <w:iCs w:val="0"/>
                <w:szCs w:val="21"/>
              </w:rPr>
            </m:ctrlPr>
          </m:sSubPr>
          <m:e>
            <m:r>
              <m:rPr/>
              <w:rPr>
                <w:rFonts w:hint="default" w:ascii="Cambria Math" w:hAnsi="Cambria Math" w:eastAsia="宋体" w:cs="宋体"/>
                <w:szCs w:val="21"/>
              </w:rPr>
              <m:t>E</m:t>
            </m:r>
            <m:ctrlPr>
              <w:rPr>
                <w:rFonts w:hint="eastAsia" w:ascii="Cambria Math" w:hAnsi="Cambria Math" w:eastAsia="宋体" w:cs="宋体"/>
                <w:i/>
                <w:iCs w:val="0"/>
                <w:szCs w:val="21"/>
              </w:rPr>
            </m:ctrlPr>
          </m:e>
          <m:sub>
            <m:r>
              <m:rPr>
                <m:sty m:val="p"/>
              </m:rPr>
              <w:rPr>
                <w:rFonts w:hint="eastAsia" w:ascii="Cambria Math" w:hAnsi="Cambria Math" w:eastAsia="宋体" w:cs="宋体"/>
                <w:szCs w:val="21"/>
              </w:rPr>
              <m:t>过程</m:t>
            </m:r>
            <m:r>
              <m:rPr/>
              <w:rPr>
                <w:rFonts w:hint="default" w:ascii="Cambria Math" w:hAnsi="Cambria Math" w:eastAsia="宋体" w:cs="宋体"/>
                <w:szCs w:val="21"/>
                <w:lang w:val="en-US" w:eastAsia="zh-CN"/>
              </w:rPr>
              <m:t>1,i</m:t>
            </m:r>
            <m:ctrlPr>
              <w:rPr>
                <w:rFonts w:hint="eastAsia" w:ascii="Cambria Math" w:hAnsi="Cambria Math" w:eastAsia="宋体" w:cs="宋体"/>
                <w:i/>
                <w:iCs w:val="0"/>
                <w:szCs w:val="21"/>
              </w:rPr>
            </m:ctrlPr>
          </m:sub>
        </m:sSub>
      </m:oMath>
      <w:r>
        <w:rPr>
          <w:rFonts w:hint="eastAsia" w:ascii="宋体" w:hAnsi="宋体" w:eastAsia="宋体" w:cs="宋体"/>
          <w:i/>
          <w:iCs w:val="0"/>
          <w:szCs w:val="21"/>
          <w:lang w:val="en-US" w:eastAsia="zh-CN"/>
        </w:rPr>
        <w:t>、</w:t>
      </w:r>
      <m:oMath>
        <m:sSub>
          <m:sSubPr>
            <m:ctrlPr>
              <w:rPr>
                <w:rFonts w:hint="eastAsia" w:ascii="Cambria Math" w:hAnsi="Cambria Math" w:eastAsia="宋体" w:cs="宋体"/>
                <w:i/>
                <w:iCs w:val="0"/>
                <w:szCs w:val="21"/>
                <w:lang w:val="en-US" w:eastAsia="zh-CN"/>
              </w:rPr>
            </m:ctrlPr>
          </m:sSubPr>
          <m:e>
            <m:r>
              <m:rPr/>
              <w:rPr>
                <w:rFonts w:hint="default" w:ascii="Cambria Math" w:hAnsi="Cambria Math" w:eastAsia="宋体" w:cs="宋体"/>
                <w:szCs w:val="21"/>
                <w:lang w:val="en-US" w:eastAsia="zh-CN"/>
              </w:rPr>
              <m:t>E</m:t>
            </m:r>
            <m:ctrlPr>
              <w:rPr>
                <w:rFonts w:hint="eastAsia" w:ascii="Cambria Math" w:hAnsi="Cambria Math" w:eastAsia="宋体" w:cs="宋体"/>
                <w:i/>
                <w:iCs w:val="0"/>
                <w:szCs w:val="21"/>
                <w:lang w:val="en-US" w:eastAsia="zh-CN"/>
              </w:rPr>
            </m:ctrlPr>
          </m:e>
          <m:sub>
            <m:r>
              <m:rPr>
                <m:sty m:val="p"/>
              </m:rPr>
              <w:rPr>
                <w:rFonts w:hint="default" w:ascii="Cambria Math" w:hAnsi="Cambria Math" w:eastAsia="宋体" w:cs="宋体"/>
                <w:szCs w:val="21"/>
                <w:lang w:val="en-US" w:eastAsia="zh-CN"/>
              </w:rPr>
              <m:t>过程</m:t>
            </m:r>
            <m:r>
              <m:rPr/>
              <w:rPr>
                <w:rFonts w:hint="default" w:ascii="Cambria Math" w:hAnsi="Cambria Math" w:eastAsia="宋体" w:cs="宋体"/>
                <w:szCs w:val="21"/>
                <w:lang w:val="en-US" w:eastAsia="zh-CN"/>
              </w:rPr>
              <m:t>2,i</m:t>
            </m:r>
            <m:ctrlPr>
              <w:rPr>
                <w:rFonts w:hint="eastAsia" w:ascii="Cambria Math" w:hAnsi="Cambria Math" w:eastAsia="宋体" w:cs="宋体"/>
                <w:i/>
                <w:iCs w:val="0"/>
                <w:szCs w:val="21"/>
                <w:lang w:val="en-US" w:eastAsia="zh-CN"/>
              </w:rPr>
            </m:ctrlPr>
          </m:sub>
        </m:sSub>
      </m:oMath>
      <w:r>
        <w:rPr>
          <w:rFonts w:hint="eastAsia" w:ascii="宋体" w:hAnsi="宋体" w:eastAsia="宋体" w:cs="宋体"/>
          <w:i w:val="0"/>
          <w:szCs w:val="21"/>
          <w:lang w:val="en-US" w:eastAsia="zh-CN"/>
        </w:rPr>
        <w:t>为0。</w:t>
      </w:r>
    </w:p>
    <w:p w14:paraId="1686BB9E">
      <w:pPr>
        <w:pStyle w:val="26"/>
        <w:spacing w:line="360" w:lineRule="auto"/>
        <w:ind w:firstLine="0" w:firstLineChars="0"/>
        <w:jc w:val="right"/>
        <w:rPr>
          <w:rFonts w:hint="default" w:ascii="Times New Roman" w:hAnsi="Times New Roman" w:cs="Times New Roman"/>
          <w:szCs w:val="21"/>
        </w:rPr>
      </w:pPr>
      <m:oMath>
        <m:sSub>
          <m:sSubPr>
            <m:ctrlPr>
              <w:rPr>
                <w:rFonts w:hint="default" w:ascii="Cambria Math" w:hAnsi="Cambria Math" w:cs="Times New Roman"/>
                <w:szCs w:val="21"/>
              </w:rPr>
            </m:ctrlPr>
          </m:sSubPr>
          <m:e>
            <m:r>
              <m:rPr/>
              <w:rPr>
                <w:rFonts w:hint="default" w:ascii="Cambria Math" w:hAnsi="Cambria Math" w:cs="Times New Roman"/>
                <w:szCs w:val="21"/>
              </w:rPr>
              <m:t>C</m:t>
            </m:r>
            <m:r>
              <m:rPr/>
              <w:rPr>
                <w:rFonts w:hint="default" w:ascii="Cambria Math" w:hAnsi="Cambria Math" w:cs="Times New Roman"/>
                <w:szCs w:val="21"/>
                <w:lang w:val="en-US" w:eastAsia="zh-CN"/>
              </w:rPr>
              <m:t>FP</m:t>
            </m:r>
            <m:ctrlPr>
              <w:rPr>
                <w:rFonts w:hint="default" w:ascii="Cambria Math" w:hAnsi="Cambria Math" w:cs="Times New Roman"/>
                <w:szCs w:val="21"/>
              </w:rPr>
            </m:ctrlPr>
          </m:e>
          <m:sub>
            <m:r>
              <m:rPr/>
              <w:rPr>
                <w:rFonts w:hint="default" w:ascii="Cambria Math" w:hAnsi="Cambria Math" w:cs="Times New Roman"/>
                <w:szCs w:val="21"/>
                <w:lang w:val="en-US" w:eastAsia="zh-CN"/>
              </w:rPr>
              <m:t>A3,i</m:t>
            </m:r>
            <m:ctrlPr>
              <w:rPr>
                <w:rFonts w:hint="default" w:ascii="Cambria Math" w:hAnsi="Cambria Math" w:cs="Times New Roman"/>
                <w:szCs w:val="21"/>
              </w:rPr>
            </m:ctrlPr>
          </m:sub>
        </m:sSub>
        <m:r>
          <m:rPr>
            <m:sty m:val="p"/>
          </m:rPr>
          <w:rPr>
            <w:rFonts w:hint="default" w:ascii="Cambria Math" w:hAnsi="Cambria Math" w:cs="Times New Roman"/>
            <w:szCs w:val="21"/>
          </w:rPr>
          <m:t>=</m:t>
        </m:r>
        <m:sSub>
          <w:bookmarkStart w:id="33" w:name="OLE_LINK20"/>
          <m:sSubPr>
            <m:ctrlPr>
              <w:rPr>
                <w:rFonts w:hint="default" w:ascii="Cambria Math" w:hAnsi="Cambria Math" w:cs="Times New Roman"/>
                <w:szCs w:val="21"/>
              </w:rPr>
            </m:ctrlPr>
          </m:sSubPr>
          <m:e>
            <m:sSub>
              <m:sSubPr>
                <m:ctrlPr>
                  <w:rPr>
                    <w:rFonts w:hint="default" w:ascii="Cambria Math" w:hAnsi="Cambria Math" w:cs="Times New Roman"/>
                    <w:i/>
                    <w:szCs w:val="21"/>
                  </w:rPr>
                </m:ctrlPr>
              </m:sSubPr>
              <m:e>
                <m:r>
                  <m:rPr/>
                  <w:rPr>
                    <w:rFonts w:hint="default" w:ascii="Cambria Math" w:hAnsi="Cambria Math" w:cs="Times New Roman"/>
                    <w:szCs w:val="21"/>
                  </w:rPr>
                  <m:t>E</m:t>
                </m:r>
                <m:ctrlPr>
                  <w:rPr>
                    <w:rFonts w:hint="default" w:ascii="Cambria Math" w:hAnsi="Cambria Math" w:cs="Times New Roman"/>
                    <w:i/>
                    <w:szCs w:val="21"/>
                  </w:rPr>
                </m:ctrlPr>
              </m:e>
              <m:sub>
                <m:r>
                  <m:rPr>
                    <m:sty m:val="p"/>
                  </m:rPr>
                  <w:rPr>
                    <w:rFonts w:hint="default" w:ascii="Cambria Math" w:hAnsi="Cambria Math" w:cs="Times New Roman"/>
                    <w:szCs w:val="21"/>
                  </w:rPr>
                  <m:t>燃烧</m:t>
                </m:r>
                <m:r>
                  <m:rPr/>
                  <w:rPr>
                    <w:rFonts w:hint="default" w:ascii="Cambria Math" w:hAnsi="Cambria Math" w:cs="Times New Roman"/>
                    <w:szCs w:val="21"/>
                    <w:lang w:val="en-US" w:eastAsia="zh-CN"/>
                  </w:rPr>
                  <m:t>1,i</m:t>
                </m:r>
                <m:ctrlPr>
                  <w:rPr>
                    <w:rFonts w:hint="default" w:ascii="Cambria Math" w:hAnsi="Cambria Math" w:cs="Times New Roman"/>
                    <w:i/>
                    <w:szCs w:val="21"/>
                  </w:rPr>
                </m:ctrlPr>
              </m:sub>
            </m:sSub>
            <m:r>
              <m:rPr/>
              <w:rPr>
                <w:rFonts w:hint="default" w:ascii="Cambria Math" w:hAnsi="Cambria Math" w:cs="Times New Roman"/>
                <w:szCs w:val="21"/>
                <w:lang w:val="en-US" w:eastAsia="zh-CN"/>
              </w:rPr>
              <m:t>+</m:t>
            </m:r>
            <m:sSub>
              <m:sSubPr>
                <m:ctrlPr>
                  <w:rPr>
                    <w:rFonts w:hint="default" w:ascii="Cambria Math" w:hAnsi="Cambria Math" w:cs="Times New Roman"/>
                    <w:i/>
                    <w:szCs w:val="21"/>
                  </w:rPr>
                </m:ctrlPr>
              </m:sSubPr>
              <m:e>
                <m:r>
                  <m:rPr/>
                  <w:rPr>
                    <w:rFonts w:hint="default" w:ascii="Cambria Math" w:hAnsi="Cambria Math" w:cs="Times New Roman"/>
                    <w:szCs w:val="21"/>
                  </w:rPr>
                  <m:t>E</m:t>
                </m:r>
                <m:ctrlPr>
                  <w:rPr>
                    <w:rFonts w:hint="default" w:ascii="Cambria Math" w:hAnsi="Cambria Math" w:cs="Times New Roman"/>
                    <w:i/>
                    <w:szCs w:val="21"/>
                  </w:rPr>
                </m:ctrlPr>
              </m:e>
              <m:sub>
                <m:r>
                  <m:rPr>
                    <m:sty m:val="p"/>
                  </m:rPr>
                  <w:rPr>
                    <w:rFonts w:hint="default" w:ascii="Cambria Math" w:hAnsi="Cambria Math" w:cs="Times New Roman"/>
                    <w:szCs w:val="21"/>
                  </w:rPr>
                  <m:t>燃烧</m:t>
                </m:r>
                <m:r>
                  <m:rPr/>
                  <w:rPr>
                    <w:rFonts w:hint="default" w:ascii="Cambria Math" w:hAnsi="Cambria Math" w:cs="Times New Roman"/>
                    <w:szCs w:val="21"/>
                    <w:lang w:val="en-US" w:eastAsia="zh-CN"/>
                  </w:rPr>
                  <m:t>2,i</m:t>
                </m:r>
                <m:ctrlPr>
                  <w:rPr>
                    <w:rFonts w:hint="default" w:ascii="Cambria Math" w:hAnsi="Cambria Math" w:cs="Times New Roman"/>
                    <w:i/>
                    <w:szCs w:val="21"/>
                  </w:rPr>
                </m:ctrlPr>
              </m:sub>
            </m:sSub>
            <m:r>
              <m:rPr/>
              <w:rPr>
                <w:rFonts w:hint="default" w:ascii="Cambria Math" w:hAnsi="Cambria Math" w:cs="Times New Roman"/>
                <w:szCs w:val="21"/>
                <w:lang w:val="en-US" w:eastAsia="zh-CN"/>
              </w:rPr>
              <m:t>+</m:t>
            </m:r>
            <m:r>
              <m:rPr/>
              <w:rPr>
                <w:rFonts w:hint="default" w:ascii="Cambria Math" w:hAnsi="Cambria Math" w:cs="Times New Roman"/>
                <w:szCs w:val="21"/>
              </w:rPr>
              <m:t>E</m:t>
            </m:r>
            <m:ctrlPr>
              <w:rPr>
                <w:rFonts w:hint="default" w:ascii="Cambria Math" w:hAnsi="Cambria Math" w:cs="Times New Roman"/>
                <w:szCs w:val="21"/>
              </w:rPr>
            </m:ctrlPr>
          </m:e>
          <m:sub>
            <m:r>
              <m:rPr>
                <m:sty m:val="p"/>
              </m:rPr>
              <w:rPr>
                <w:rFonts w:hint="default" w:ascii="Cambria Math" w:hAnsi="Cambria Math" w:cs="Times New Roman"/>
                <w:szCs w:val="21"/>
              </w:rPr>
              <m:t>过程</m:t>
            </m:r>
            <m:r>
              <m:rPr/>
              <w:rPr>
                <w:rFonts w:hint="default" w:ascii="Cambria Math" w:hAnsi="Cambria Math" w:cs="Times New Roman"/>
                <w:szCs w:val="21"/>
                <w:lang w:val="en-US" w:eastAsia="zh-CN"/>
              </w:rPr>
              <m:t>1,i</m:t>
            </m:r>
            <m:ctrlPr>
              <w:rPr>
                <w:rFonts w:hint="default" w:ascii="Cambria Math" w:hAnsi="Cambria Math" w:cs="Times New Roman"/>
                <w:szCs w:val="21"/>
              </w:rPr>
            </m:ctrlPr>
          </m:sub>
        </m:sSub>
        <m:r>
          <m:rPr/>
          <w:rPr>
            <w:rFonts w:hint="default" w:ascii="Cambria Math" w:hAnsi="Cambria Math" w:cs="Times New Roman"/>
            <w:szCs w:val="21"/>
            <w:lang w:val="en-US" w:eastAsia="zh-CN"/>
          </w:rPr>
          <m:t>+</m:t>
        </m:r>
        <m:sSub>
          <m:sSubPr>
            <m:ctrlPr>
              <w:rPr>
                <w:rFonts w:hint="default" w:ascii="Cambria Math" w:hAnsi="Cambria Math" w:cs="Times New Roman"/>
                <w:i/>
                <w:szCs w:val="21"/>
                <w:lang w:val="en-US" w:eastAsia="zh-CN"/>
              </w:rPr>
            </m:ctrlPr>
          </m:sSubPr>
          <m:e>
            <m:r>
              <m:rPr/>
              <w:rPr>
                <w:rFonts w:hint="default" w:ascii="Cambria Math" w:hAnsi="Cambria Math" w:cs="Times New Roman"/>
                <w:szCs w:val="21"/>
                <w:lang w:val="en-US" w:eastAsia="zh-CN"/>
              </w:rPr>
              <m:t>E</m:t>
            </m:r>
            <m:ctrlPr>
              <w:rPr>
                <w:rFonts w:hint="default" w:ascii="Cambria Math" w:hAnsi="Cambria Math" w:cs="Times New Roman"/>
                <w:i/>
                <w:szCs w:val="21"/>
                <w:lang w:val="en-US" w:eastAsia="zh-CN"/>
              </w:rPr>
            </m:ctrlPr>
          </m:e>
          <m:sub>
            <m:r>
              <m:rPr>
                <m:sty m:val="p"/>
              </m:rPr>
              <w:rPr>
                <w:rFonts w:hint="default" w:ascii="Cambria Math" w:hAnsi="Cambria Math" w:cs="Times New Roman"/>
                <w:szCs w:val="21"/>
                <w:lang w:val="en-US" w:eastAsia="zh-CN"/>
              </w:rPr>
              <m:t>过程</m:t>
            </m:r>
            <m:r>
              <m:rPr/>
              <w:rPr>
                <w:rFonts w:hint="default" w:ascii="Cambria Math" w:hAnsi="Cambria Math" w:cs="Times New Roman"/>
                <w:szCs w:val="21"/>
                <w:lang w:val="en-US" w:eastAsia="zh-CN"/>
              </w:rPr>
              <m:t>2,i</m:t>
            </m:r>
            <w:bookmarkEnd w:id="33"/>
            <m:ctrlPr>
              <w:rPr>
                <w:rFonts w:hint="default" w:ascii="Cambria Math" w:hAnsi="Cambria Math" w:cs="Times New Roman"/>
                <w:i/>
                <w:szCs w:val="21"/>
                <w:lang w:val="en-US" w:eastAsia="zh-CN"/>
              </w:rPr>
            </m:ctrlPr>
          </m:sub>
        </m:sSub>
      </m:oMath>
      <w:r>
        <w:rPr>
          <w:rFonts w:hint="default" w:ascii="Times New Roman" w:hAnsi="Times New Roman" w:cs="Times New Roman"/>
          <w:szCs w:val="21"/>
        </w:rPr>
        <w:t xml:space="preserve">                      （</w:t>
      </w:r>
      <w:r>
        <w:rPr>
          <w:rFonts w:hint="default" w:ascii="Times New Roman" w:hAnsi="Times New Roman" w:cs="Times New Roman"/>
          <w:szCs w:val="21"/>
          <w:lang w:val="en-US" w:eastAsia="zh-CN"/>
        </w:rPr>
        <w:t>5</w:t>
      </w:r>
      <w:r>
        <w:rPr>
          <w:rFonts w:hint="default" w:ascii="Times New Roman" w:hAnsi="Times New Roman" w:cs="Times New Roman"/>
          <w:szCs w:val="21"/>
        </w:rPr>
        <w:t>）</w:t>
      </w:r>
    </w:p>
    <w:p w14:paraId="04F5A882">
      <w:pPr>
        <w:pStyle w:val="26"/>
        <w:spacing w:line="360" w:lineRule="auto"/>
        <w:ind w:firstLine="420" w:firstLineChars="200"/>
        <w:jc w:val="left"/>
        <w:rPr>
          <w:rFonts w:hint="default" w:ascii="Times New Roman" w:hAnsi="Times New Roman" w:cs="Times New Roman"/>
          <w:szCs w:val="21"/>
        </w:rPr>
      </w:pPr>
      <w:r>
        <w:rPr>
          <w:rFonts w:hint="default" w:ascii="Times New Roman" w:hAnsi="Times New Roman" w:cs="Times New Roman"/>
          <w:szCs w:val="21"/>
        </w:rPr>
        <w:t>式中：</w:t>
      </w:r>
    </w:p>
    <w:tbl>
      <w:tblPr>
        <w:tblStyle w:val="35"/>
        <w:tblW w:w="4790" w:type="pct"/>
        <w:jc w:val="right"/>
        <w:tblLayout w:type="autofit"/>
        <w:tblCellMar>
          <w:top w:w="0" w:type="dxa"/>
          <w:left w:w="108" w:type="dxa"/>
          <w:bottom w:w="0" w:type="dxa"/>
          <w:right w:w="108" w:type="dxa"/>
        </w:tblCellMar>
      </w:tblPr>
      <w:tblGrid>
        <w:gridCol w:w="789"/>
        <w:gridCol w:w="426"/>
        <w:gridCol w:w="8333"/>
      </w:tblGrid>
      <w:tr w14:paraId="19EA11CB">
        <w:tblPrEx>
          <w:tblCellMar>
            <w:top w:w="0" w:type="dxa"/>
            <w:left w:w="108" w:type="dxa"/>
            <w:bottom w:w="0" w:type="dxa"/>
            <w:right w:w="108" w:type="dxa"/>
          </w:tblCellMar>
        </w:tblPrEx>
        <w:trPr>
          <w:trHeight w:val="397" w:hRule="atLeast"/>
          <w:jc w:val="right"/>
        </w:trPr>
        <w:tc>
          <w:tcPr>
            <w:tcW w:w="413" w:type="pct"/>
            <w:vAlign w:val="center"/>
          </w:tcPr>
          <w:p w14:paraId="765721FA">
            <w:pPr>
              <w:tabs>
                <w:tab w:val="center" w:pos="4338"/>
                <w:tab w:val="right" w:pos="8675"/>
              </w:tabs>
              <w:adjustRightInd w:val="0"/>
              <w:snapToGrid w:val="0"/>
              <w:spacing w:line="240" w:lineRule="auto"/>
              <w:ind w:firstLine="0" w:firstLineChars="0"/>
              <w:jc w:val="right"/>
              <w:rPr>
                <w:rFonts w:hint="default" w:ascii="Times New Roman" w:hAnsi="Times New Roman" w:cs="Times New Roman"/>
                <w:iCs/>
                <w:lang w:val="en-US"/>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E</m:t>
                    </m:r>
                    <m:ctrlPr>
                      <w:rPr>
                        <w:rFonts w:hint="default" w:ascii="Cambria Math" w:hAnsi="Cambria Math" w:cs="Times New Roman"/>
                        <w:i/>
                        <w:szCs w:val="21"/>
                      </w:rPr>
                    </m:ctrlPr>
                  </m:e>
                  <m:sub>
                    <m:r>
                      <m:rPr>
                        <m:sty m:val="p"/>
                      </m:rPr>
                      <w:rPr>
                        <w:rFonts w:hint="default" w:ascii="Cambria Math" w:hAnsi="Cambria Math" w:cs="Times New Roman"/>
                        <w:szCs w:val="21"/>
                      </w:rPr>
                      <m:t>燃烧</m:t>
                    </m:r>
                    <m:r>
                      <m:rPr/>
                      <w:rPr>
                        <w:rFonts w:hint="default" w:ascii="Cambria Math" w:hAnsi="Cambria Math" w:cs="Times New Roman"/>
                        <w:szCs w:val="21"/>
                        <w:lang w:val="en-US" w:eastAsia="zh-CN"/>
                      </w:rPr>
                      <m:t>1,i</m:t>
                    </m:r>
                    <m:ctrlPr>
                      <w:rPr>
                        <w:rFonts w:hint="default" w:ascii="Cambria Math" w:hAnsi="Cambria Math" w:cs="Times New Roman"/>
                        <w:i/>
                        <w:szCs w:val="21"/>
                      </w:rPr>
                    </m:ctrlPr>
                  </m:sub>
                </m:sSub>
              </m:oMath>
            </m:oMathPara>
          </w:p>
        </w:tc>
        <w:tc>
          <w:tcPr>
            <w:tcW w:w="223" w:type="pct"/>
            <w:vAlign w:val="center"/>
          </w:tcPr>
          <w:p w14:paraId="2CB078B9">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363" w:type="pct"/>
            <w:vAlign w:val="center"/>
          </w:tcPr>
          <w:p w14:paraId="52D3BCCD">
            <w:pPr>
              <w:tabs>
                <w:tab w:val="center" w:pos="4338"/>
                <w:tab w:val="right" w:pos="8675"/>
              </w:tabs>
              <w:adjustRightInd w:val="0"/>
              <w:snapToGrid w:val="0"/>
              <w:spacing w:line="240" w:lineRule="auto"/>
              <w:ind w:firstLine="0" w:firstLineChars="0"/>
              <w:jc w:val="left"/>
              <w:rPr>
                <w:rFonts w:hint="default" w:ascii="Times New Roman" w:hAnsi="Times New Roman" w:cs="Times New Roman"/>
              </w:rPr>
            </w:pPr>
            <w:r>
              <w:rPr>
                <w:rFonts w:hint="eastAsia" w:cs="Times New Roman"/>
                <w:szCs w:val="21"/>
                <w:lang w:val="en-US" w:eastAsia="zh-CN"/>
              </w:rPr>
              <w:t>产品</w:t>
            </w:r>
            <w:r>
              <w:rPr>
                <w:rFonts w:hint="default" w:ascii="Times New Roman" w:hAnsi="Times New Roman" w:cs="Times New Roman"/>
                <w:shd w:val="clear" w:color="auto" w:fill="FFFFFF"/>
              </w:rPr>
              <w:t>生产阶段</w:t>
            </w:r>
            <w:r>
              <w:rPr>
                <w:rFonts w:hint="default" w:ascii="Times New Roman" w:hAnsi="Times New Roman" w:cs="Times New Roman"/>
                <w:szCs w:val="21"/>
                <w:lang w:val="en-US" w:eastAsia="zh-CN"/>
              </w:rPr>
              <w:t>化石</w:t>
            </w:r>
            <w:r>
              <w:rPr>
                <w:rFonts w:hint="default" w:ascii="Times New Roman" w:hAnsi="Times New Roman" w:cs="Times New Roman"/>
                <w:shd w:val="clear" w:color="auto" w:fill="FFFFFF"/>
              </w:rPr>
              <w:t>燃料燃烧产生的</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类温室气体</w:t>
            </w:r>
            <w:r>
              <w:rPr>
                <w:rFonts w:hint="default" w:ascii="Times New Roman" w:hAnsi="Times New Roman" w:cs="Times New Roman"/>
                <w:shd w:val="clear" w:color="auto" w:fill="FFFFFF"/>
              </w:rPr>
              <w:t>排放量</w:t>
            </w:r>
            <w:r>
              <w:rPr>
                <w:rFonts w:hint="default" w:ascii="Times New Roman" w:hAnsi="Times New Roman" w:cs="Times New Roman"/>
                <w:szCs w:val="21"/>
              </w:rPr>
              <w:t>，按式（</w:t>
            </w:r>
            <w:r>
              <w:rPr>
                <w:rFonts w:hint="eastAsia" w:cs="Times New Roman"/>
                <w:szCs w:val="21"/>
                <w:lang w:val="en-US" w:eastAsia="zh-CN"/>
              </w:rPr>
              <w:t>6</w:t>
            </w:r>
            <w:r>
              <w:rPr>
                <w:rFonts w:hint="default" w:ascii="Times New Roman" w:hAnsi="Times New Roman" w:cs="Times New Roman"/>
                <w:szCs w:val="21"/>
              </w:rPr>
              <w:t>）计算，单位为千克（kg）</w:t>
            </w:r>
            <w:r>
              <w:rPr>
                <w:rFonts w:hint="default" w:ascii="Times New Roman" w:hAnsi="Times New Roman" w:cs="Times New Roman"/>
                <w:szCs w:val="21"/>
                <w:lang w:eastAsia="zh-CN"/>
              </w:rPr>
              <w:t>；</w:t>
            </w:r>
          </w:p>
        </w:tc>
      </w:tr>
      <w:tr w14:paraId="16CCCE62">
        <w:tblPrEx>
          <w:tblCellMar>
            <w:top w:w="0" w:type="dxa"/>
            <w:left w:w="108" w:type="dxa"/>
            <w:bottom w:w="0" w:type="dxa"/>
            <w:right w:w="108" w:type="dxa"/>
          </w:tblCellMar>
        </w:tblPrEx>
        <w:trPr>
          <w:trHeight w:val="397" w:hRule="atLeast"/>
          <w:jc w:val="right"/>
        </w:trPr>
        <w:tc>
          <w:tcPr>
            <w:tcW w:w="413" w:type="pct"/>
            <w:vAlign w:val="center"/>
          </w:tcPr>
          <w:p w14:paraId="5FE381E5">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E</m:t>
                    </m:r>
                    <m:ctrlPr>
                      <w:rPr>
                        <w:rFonts w:hint="default" w:ascii="Cambria Math" w:hAnsi="Cambria Math" w:cs="Times New Roman"/>
                        <w:i/>
                        <w:szCs w:val="21"/>
                      </w:rPr>
                    </m:ctrlPr>
                  </m:e>
                  <m:sub>
                    <m:r>
                      <m:rPr>
                        <m:sty m:val="p"/>
                      </m:rPr>
                      <w:rPr>
                        <w:rFonts w:hint="default" w:ascii="Cambria Math" w:hAnsi="Cambria Math" w:cs="Times New Roman"/>
                        <w:szCs w:val="21"/>
                      </w:rPr>
                      <m:t>燃烧</m:t>
                    </m:r>
                    <m:r>
                      <m:rPr/>
                      <w:rPr>
                        <w:rFonts w:hint="default" w:ascii="Cambria Math" w:hAnsi="Cambria Math" w:cs="Times New Roman"/>
                        <w:szCs w:val="21"/>
                        <w:lang w:val="en-US" w:eastAsia="zh-CN"/>
                      </w:rPr>
                      <m:t>2,i</m:t>
                    </m:r>
                    <m:ctrlPr>
                      <w:rPr>
                        <w:rFonts w:hint="default" w:ascii="Cambria Math" w:hAnsi="Cambria Math" w:cs="Times New Roman"/>
                        <w:i/>
                        <w:szCs w:val="21"/>
                      </w:rPr>
                    </m:ctrlPr>
                  </m:sub>
                </m:sSub>
              </m:oMath>
            </m:oMathPara>
          </w:p>
        </w:tc>
        <w:tc>
          <w:tcPr>
            <w:tcW w:w="223" w:type="pct"/>
            <w:vAlign w:val="center"/>
          </w:tcPr>
          <w:p w14:paraId="0395A96C">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363" w:type="pct"/>
            <w:vAlign w:val="center"/>
          </w:tcPr>
          <w:p w14:paraId="7D85D274">
            <w:pPr>
              <w:tabs>
                <w:tab w:val="center" w:pos="4338"/>
                <w:tab w:val="right" w:pos="8675"/>
              </w:tabs>
              <w:adjustRightInd w:val="0"/>
              <w:snapToGrid w:val="0"/>
              <w:spacing w:line="240" w:lineRule="auto"/>
              <w:ind w:firstLine="0" w:firstLineChars="0"/>
              <w:jc w:val="left"/>
              <w:rPr>
                <w:rFonts w:hint="default" w:ascii="Times New Roman" w:hAnsi="Times New Roman" w:eastAsia="宋体" w:cs="Times New Roman"/>
                <w:lang w:val="en-US" w:eastAsia="zh-CN"/>
              </w:rPr>
            </w:pPr>
            <w:r>
              <w:rPr>
                <w:rFonts w:hint="eastAsia" w:cs="Times New Roman"/>
                <w:szCs w:val="21"/>
                <w:lang w:val="en-US" w:eastAsia="zh-CN"/>
              </w:rPr>
              <w:t>产品</w:t>
            </w:r>
            <w:r>
              <w:rPr>
                <w:rFonts w:hint="default" w:ascii="Times New Roman" w:hAnsi="Times New Roman" w:cs="Times New Roman"/>
                <w:shd w:val="clear" w:color="auto" w:fill="FFFFFF"/>
              </w:rPr>
              <w:t>生产阶段</w:t>
            </w:r>
            <w:r>
              <w:rPr>
                <w:rFonts w:hint="default" w:ascii="Times New Roman" w:hAnsi="Times New Roman" w:cs="Times New Roman"/>
                <w:shd w:val="clear" w:color="auto" w:fill="FFFFFF"/>
                <w:lang w:val="en-US" w:eastAsia="zh-CN"/>
              </w:rPr>
              <w:t>替代燃料煅烧产生</w:t>
            </w:r>
            <w:r>
              <w:rPr>
                <w:rFonts w:hint="default" w:ascii="Times New Roman" w:hAnsi="Times New Roman" w:cs="Times New Roman"/>
                <w:shd w:val="clear" w:color="auto" w:fill="FFFFFF"/>
              </w:rPr>
              <w:t>的</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类温室气体</w:t>
            </w:r>
            <w:r>
              <w:rPr>
                <w:rFonts w:hint="default" w:ascii="Times New Roman" w:hAnsi="Times New Roman" w:cs="Times New Roman"/>
                <w:shd w:val="clear" w:color="auto" w:fill="FFFFFF"/>
              </w:rPr>
              <w:t>排放量</w:t>
            </w:r>
            <w:r>
              <w:rPr>
                <w:rFonts w:hint="default" w:ascii="Times New Roman" w:hAnsi="Times New Roman" w:cs="Times New Roman"/>
                <w:szCs w:val="21"/>
              </w:rPr>
              <w:t>，按式（</w:t>
            </w:r>
            <w:r>
              <w:rPr>
                <w:rFonts w:hint="eastAsia" w:cs="Times New Roman"/>
                <w:szCs w:val="21"/>
                <w:lang w:val="en-US" w:eastAsia="zh-CN"/>
              </w:rPr>
              <w:t>7</w:t>
            </w:r>
            <w:r>
              <w:rPr>
                <w:rFonts w:hint="default" w:ascii="Times New Roman" w:hAnsi="Times New Roman" w:cs="Times New Roman"/>
                <w:szCs w:val="21"/>
              </w:rPr>
              <w:t>）计算，单位为千克（kg）</w:t>
            </w:r>
            <w:r>
              <w:rPr>
                <w:rFonts w:hint="default" w:ascii="Times New Roman" w:hAnsi="Times New Roman" w:cs="Times New Roman"/>
                <w:szCs w:val="21"/>
                <w:lang w:eastAsia="zh-CN"/>
              </w:rPr>
              <w:t>；</w:t>
            </w:r>
          </w:p>
        </w:tc>
      </w:tr>
      <w:tr w14:paraId="41C492D6">
        <w:tblPrEx>
          <w:tblCellMar>
            <w:top w:w="0" w:type="dxa"/>
            <w:left w:w="108" w:type="dxa"/>
            <w:bottom w:w="0" w:type="dxa"/>
            <w:right w:w="108" w:type="dxa"/>
          </w:tblCellMar>
        </w:tblPrEx>
        <w:trPr>
          <w:trHeight w:val="397" w:hRule="atLeast"/>
          <w:jc w:val="right"/>
        </w:trPr>
        <w:tc>
          <w:tcPr>
            <w:tcW w:w="413" w:type="pct"/>
            <w:vAlign w:val="center"/>
          </w:tcPr>
          <w:p w14:paraId="01C19FE4">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lang w:val="en-US" w:eastAsia="zh-CN"/>
                <w:oMath/>
              </w:rPr>
            </w:pPr>
            <m:oMathPara>
              <m:oMathParaPr>
                <m:jc m:val="left"/>
              </m:oMathParaPr>
              <m:oMath>
                <m:sSub>
                  <m:sSubPr>
                    <m:ctrlPr>
                      <w:rPr>
                        <w:rFonts w:hint="default" w:ascii="Cambria Math" w:hAnsi="Cambria Math" w:eastAsia="宋体" w:cs="Times New Roman"/>
                        <w:i/>
                        <w:szCs w:val="21"/>
                        <w:lang w:val="en-US" w:eastAsia="zh-CN"/>
                      </w:rPr>
                    </m:ctrlPr>
                  </m:sSubPr>
                  <m:e>
                    <m:r>
                      <m:rPr/>
                      <w:rPr>
                        <w:rFonts w:hint="default" w:ascii="Cambria Math" w:hAnsi="Cambria Math" w:cs="Times New Roman"/>
                        <w:szCs w:val="21"/>
                        <w:lang w:val="en-US" w:eastAsia="zh-CN"/>
                      </w:rPr>
                      <m:t>E</m:t>
                    </m:r>
                    <m:ctrlPr>
                      <w:rPr>
                        <w:rFonts w:hint="default" w:ascii="Cambria Math" w:hAnsi="Cambria Math" w:eastAsia="宋体" w:cs="Times New Roman"/>
                        <w:i/>
                        <w:szCs w:val="21"/>
                        <w:lang w:val="en-US" w:eastAsia="zh-CN"/>
                      </w:rPr>
                    </m:ctrlPr>
                  </m:e>
                  <m:sub>
                    <m:r>
                      <m:rPr>
                        <m:sty m:val="p"/>
                      </m:rPr>
                      <w:rPr>
                        <w:rFonts w:hint="default" w:ascii="Cambria Math" w:hAnsi="Cambria Math" w:cs="Times New Roman"/>
                        <w:szCs w:val="21"/>
                        <w:lang w:val="en-US" w:eastAsia="zh-CN"/>
                      </w:rPr>
                      <m:t>过程</m:t>
                    </m:r>
                    <m:r>
                      <m:rPr/>
                      <w:rPr>
                        <w:rFonts w:hint="default" w:ascii="Cambria Math" w:hAnsi="Cambria Math" w:cs="Times New Roman"/>
                        <w:szCs w:val="21"/>
                        <w:lang w:val="en-US" w:eastAsia="zh-CN"/>
                      </w:rPr>
                      <m:t>1,i</m:t>
                    </m:r>
                    <m:ctrlPr>
                      <w:rPr>
                        <w:rFonts w:hint="default" w:ascii="Cambria Math" w:hAnsi="Cambria Math" w:eastAsia="宋体" w:cs="Times New Roman"/>
                        <w:i/>
                        <w:szCs w:val="21"/>
                        <w:lang w:val="en-US" w:eastAsia="zh-CN"/>
                      </w:rPr>
                    </m:ctrlPr>
                  </m:sub>
                </m:sSub>
              </m:oMath>
            </m:oMathPara>
          </w:p>
        </w:tc>
        <w:tc>
          <w:tcPr>
            <w:tcW w:w="223" w:type="pct"/>
            <w:vAlign w:val="top"/>
          </w:tcPr>
          <w:p w14:paraId="24B19CCA">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363" w:type="pct"/>
            <w:vAlign w:val="center"/>
          </w:tcPr>
          <w:p w14:paraId="2E8FAE70">
            <w:pPr>
              <w:tabs>
                <w:tab w:val="center" w:pos="4338"/>
                <w:tab w:val="right" w:pos="8675"/>
              </w:tabs>
              <w:adjustRightInd w:val="0"/>
              <w:snapToGrid w:val="0"/>
              <w:spacing w:line="240" w:lineRule="auto"/>
              <w:ind w:firstLine="0" w:firstLineChars="0"/>
              <w:jc w:val="left"/>
              <w:rPr>
                <w:rFonts w:hint="default" w:ascii="Times New Roman" w:hAnsi="Times New Roman" w:cs="Times New Roman"/>
                <w:lang w:val="en-US" w:eastAsia="zh-CN"/>
              </w:rPr>
            </w:pPr>
            <w:r>
              <w:rPr>
                <w:rFonts w:hint="eastAsia" w:cs="Times New Roman"/>
                <w:szCs w:val="21"/>
                <w:lang w:val="en-US" w:eastAsia="zh-CN"/>
              </w:rPr>
              <w:t>产品</w:t>
            </w:r>
            <w:r>
              <w:rPr>
                <w:rFonts w:hint="default" w:ascii="Times New Roman" w:hAnsi="Times New Roman" w:cs="Times New Roman"/>
                <w:szCs w:val="21"/>
              </w:rPr>
              <w:t>生产阶段的碳酸盐原料煅烧分解产生的</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w:t>
            </w:r>
            <w:r>
              <w:rPr>
                <w:rFonts w:hint="eastAsia" w:cs="Times New Roman"/>
                <w:szCs w:val="21"/>
                <w:lang w:val="en-US" w:eastAsia="zh-CN"/>
              </w:rPr>
              <w:t>温室气体</w:t>
            </w:r>
            <w:r>
              <w:rPr>
                <w:rFonts w:hint="default" w:ascii="Times New Roman" w:hAnsi="Times New Roman" w:cs="Times New Roman"/>
                <w:szCs w:val="21"/>
              </w:rPr>
              <w:t>排放量，按式（</w:t>
            </w:r>
            <w:r>
              <w:rPr>
                <w:rFonts w:hint="eastAsia" w:cs="Times New Roman"/>
                <w:szCs w:val="21"/>
                <w:lang w:val="en-US" w:eastAsia="zh-CN"/>
              </w:rPr>
              <w:t>8</w:t>
            </w:r>
            <w:r>
              <w:rPr>
                <w:rFonts w:hint="default" w:ascii="Times New Roman" w:hAnsi="Times New Roman" w:cs="Times New Roman"/>
                <w:szCs w:val="21"/>
              </w:rPr>
              <w:t>）计算，单位为千克（kg）</w:t>
            </w:r>
            <w:r>
              <w:rPr>
                <w:rFonts w:hint="default" w:ascii="Times New Roman" w:hAnsi="Times New Roman" w:cs="Times New Roman"/>
                <w:szCs w:val="21"/>
                <w:lang w:eastAsia="zh-CN"/>
              </w:rPr>
              <w:t>；</w:t>
            </w:r>
            <w:r>
              <w:rPr>
                <w:rFonts w:hint="eastAsia" w:cs="Times New Roman"/>
                <w:szCs w:val="21"/>
                <w:lang w:val="en-US" w:eastAsia="zh-CN"/>
              </w:rPr>
              <w:t>对于存在熟料生产过程的产品，</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w:t>
            </w:r>
            <w:r>
              <w:rPr>
                <w:rFonts w:hint="eastAsia" w:cs="Times New Roman"/>
                <w:szCs w:val="21"/>
                <w:lang w:val="en-US" w:eastAsia="zh-CN"/>
              </w:rPr>
              <w:t>温室气体</w:t>
            </w:r>
            <w:bookmarkStart w:id="34" w:name="OLE_LINK19"/>
            <w:r>
              <w:rPr>
                <w:rFonts w:hint="eastAsia" w:cs="Times New Roman"/>
                <w:szCs w:val="21"/>
                <w:lang w:val="en-US" w:eastAsia="zh-CN"/>
              </w:rPr>
              <w:t>为</w:t>
            </w:r>
            <w:bookmarkEnd w:id="34"/>
            <w:r>
              <w:rPr>
                <w:rFonts w:hint="eastAsia" w:cs="Times New Roman"/>
                <w:szCs w:val="21"/>
                <w:lang w:val="en-US" w:eastAsia="zh-CN"/>
              </w:rPr>
              <w:t>二氧化碳；</w:t>
            </w:r>
          </w:p>
        </w:tc>
      </w:tr>
      <w:tr w14:paraId="57E2746E">
        <w:tblPrEx>
          <w:tblCellMar>
            <w:top w:w="0" w:type="dxa"/>
            <w:left w:w="108" w:type="dxa"/>
            <w:bottom w:w="0" w:type="dxa"/>
            <w:right w:w="108" w:type="dxa"/>
          </w:tblCellMar>
        </w:tblPrEx>
        <w:trPr>
          <w:trHeight w:val="397" w:hRule="atLeast"/>
          <w:jc w:val="right"/>
        </w:trPr>
        <w:tc>
          <w:tcPr>
            <w:tcW w:w="413" w:type="pct"/>
            <w:vAlign w:val="center"/>
          </w:tcPr>
          <w:p w14:paraId="7ED6F828">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lang w:val="en-US" w:eastAsia="zh-CN"/>
                <w:oMath/>
              </w:rPr>
            </w:pPr>
            <m:oMathPara>
              <m:oMathParaPr>
                <m:jc m:val="left"/>
              </m:oMathParaPr>
              <m:oMath>
                <m:sSub>
                  <m:sSubPr>
                    <m:ctrlPr>
                      <w:rPr>
                        <w:rFonts w:hint="default" w:ascii="Cambria Math" w:hAnsi="Cambria Math" w:eastAsia="宋体" w:cs="Times New Roman"/>
                        <w:i/>
                        <w:szCs w:val="21"/>
                        <w:lang w:val="en-US" w:eastAsia="zh-CN"/>
                      </w:rPr>
                    </m:ctrlPr>
                  </m:sSubPr>
                  <m:e>
                    <m:r>
                      <m:rPr/>
                      <w:rPr>
                        <w:rFonts w:hint="default" w:ascii="Cambria Math" w:hAnsi="Cambria Math" w:cs="Times New Roman"/>
                        <w:szCs w:val="21"/>
                        <w:lang w:val="en-US" w:eastAsia="zh-CN"/>
                      </w:rPr>
                      <m:t>E</m:t>
                    </m:r>
                    <m:ctrlPr>
                      <w:rPr>
                        <w:rFonts w:hint="default" w:ascii="Cambria Math" w:hAnsi="Cambria Math" w:eastAsia="宋体" w:cs="Times New Roman"/>
                        <w:i/>
                        <w:szCs w:val="21"/>
                        <w:lang w:val="en-US" w:eastAsia="zh-CN"/>
                      </w:rPr>
                    </m:ctrlPr>
                  </m:e>
                  <m:sub>
                    <m:r>
                      <m:rPr>
                        <m:sty m:val="p"/>
                      </m:rPr>
                      <w:rPr>
                        <w:rFonts w:hint="default" w:ascii="Cambria Math" w:hAnsi="Cambria Math" w:cs="Times New Roman"/>
                        <w:szCs w:val="21"/>
                        <w:lang w:val="en-US" w:eastAsia="zh-CN"/>
                      </w:rPr>
                      <m:t>过程</m:t>
                    </m:r>
                    <m:r>
                      <m:rPr/>
                      <w:rPr>
                        <w:rFonts w:hint="default" w:ascii="Cambria Math" w:hAnsi="Cambria Math" w:cs="Times New Roman"/>
                        <w:szCs w:val="21"/>
                        <w:lang w:val="en-US" w:eastAsia="zh-CN"/>
                      </w:rPr>
                      <m:t>2,i</m:t>
                    </m:r>
                    <m:ctrlPr>
                      <w:rPr>
                        <w:rFonts w:hint="default" w:ascii="Cambria Math" w:hAnsi="Cambria Math" w:eastAsia="宋体" w:cs="Times New Roman"/>
                        <w:i/>
                        <w:szCs w:val="21"/>
                        <w:lang w:val="en-US" w:eastAsia="zh-CN"/>
                      </w:rPr>
                    </m:ctrlPr>
                  </m:sub>
                </m:sSub>
              </m:oMath>
            </m:oMathPara>
          </w:p>
        </w:tc>
        <w:tc>
          <w:tcPr>
            <w:tcW w:w="223" w:type="pct"/>
            <w:vAlign w:val="top"/>
          </w:tcPr>
          <w:p w14:paraId="6DC6CB19">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363" w:type="pct"/>
            <w:vAlign w:val="center"/>
          </w:tcPr>
          <w:p w14:paraId="40E35219">
            <w:pPr>
              <w:tabs>
                <w:tab w:val="center" w:pos="4338"/>
                <w:tab w:val="right" w:pos="8675"/>
              </w:tabs>
              <w:adjustRightInd w:val="0"/>
              <w:snapToGrid w:val="0"/>
              <w:spacing w:line="240" w:lineRule="auto"/>
              <w:ind w:firstLine="0" w:firstLineChars="0"/>
              <w:jc w:val="left"/>
              <w:rPr>
                <w:rFonts w:hint="default" w:ascii="Times New Roman" w:hAnsi="Times New Roman" w:cs="Times New Roman"/>
                <w:lang w:val="en-US" w:eastAsia="zh-CN"/>
              </w:rPr>
            </w:pPr>
            <w:r>
              <w:rPr>
                <w:rFonts w:hint="eastAsia" w:cs="Times New Roman"/>
                <w:szCs w:val="21"/>
                <w:lang w:val="en-US" w:eastAsia="zh-CN"/>
              </w:rPr>
              <w:t>产品</w:t>
            </w:r>
            <w:r>
              <w:rPr>
                <w:rFonts w:hint="default" w:ascii="Times New Roman" w:hAnsi="Times New Roman" w:cs="Times New Roman"/>
                <w:shd w:val="clear" w:color="auto" w:fill="FFFFFF"/>
              </w:rPr>
              <w:t>生产阶段</w:t>
            </w:r>
            <w:r>
              <w:rPr>
                <w:rFonts w:hint="default" w:ascii="Times New Roman" w:hAnsi="Times New Roman" w:cs="Times New Roman"/>
                <w:shd w:val="clear" w:color="auto" w:fill="FFFFFF"/>
                <w:lang w:val="en-US" w:eastAsia="zh-CN"/>
              </w:rPr>
              <w:t>生料中非燃料碳煅烧产生</w:t>
            </w:r>
            <w:r>
              <w:rPr>
                <w:rFonts w:hint="default" w:ascii="Times New Roman" w:hAnsi="Times New Roman" w:cs="Times New Roman"/>
                <w:shd w:val="clear" w:color="auto" w:fill="FFFFFF"/>
              </w:rPr>
              <w:t>的</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w:t>
            </w:r>
            <w:r>
              <w:rPr>
                <w:rFonts w:hint="eastAsia" w:cs="Times New Roman"/>
                <w:shd w:val="clear" w:color="auto" w:fill="FFFFFF"/>
                <w:lang w:val="en-US" w:eastAsia="zh-CN"/>
              </w:rPr>
              <w:t>温室气体</w:t>
            </w:r>
            <w:r>
              <w:rPr>
                <w:rFonts w:hint="default" w:ascii="Times New Roman" w:hAnsi="Times New Roman" w:cs="Times New Roman"/>
                <w:shd w:val="clear" w:color="auto" w:fill="FFFFFF"/>
              </w:rPr>
              <w:t>排放量</w:t>
            </w:r>
            <w:r>
              <w:rPr>
                <w:rFonts w:hint="default" w:ascii="Times New Roman" w:hAnsi="Times New Roman" w:cs="Times New Roman"/>
                <w:szCs w:val="21"/>
              </w:rPr>
              <w:t>，按式（</w:t>
            </w:r>
            <w:r>
              <w:rPr>
                <w:rFonts w:hint="default" w:ascii="Times New Roman" w:hAnsi="Times New Roman" w:cs="Times New Roman"/>
                <w:szCs w:val="21"/>
                <w:lang w:val="en-US" w:eastAsia="zh-CN"/>
              </w:rPr>
              <w:t>1</w:t>
            </w:r>
            <w:r>
              <w:rPr>
                <w:rFonts w:hint="eastAsia" w:cs="Times New Roman"/>
                <w:szCs w:val="21"/>
                <w:lang w:val="en-US" w:eastAsia="zh-CN"/>
              </w:rPr>
              <w:t>1</w:t>
            </w:r>
            <w:r>
              <w:rPr>
                <w:rFonts w:hint="default" w:ascii="Times New Roman" w:hAnsi="Times New Roman" w:cs="Times New Roman"/>
                <w:szCs w:val="21"/>
              </w:rPr>
              <w:t>）计算，单位为千克（kg）</w:t>
            </w:r>
            <w:r>
              <w:rPr>
                <w:rFonts w:hint="eastAsia" w:cs="Times New Roman"/>
                <w:szCs w:val="21"/>
                <w:lang w:eastAsia="zh-CN"/>
              </w:rPr>
              <w:t>；</w:t>
            </w:r>
            <w:r>
              <w:rPr>
                <w:rFonts w:hint="eastAsia" w:cs="Times New Roman"/>
                <w:szCs w:val="21"/>
                <w:lang w:val="en-US" w:eastAsia="zh-CN"/>
              </w:rPr>
              <w:t>对于存在熟料生产过程的产品，</w:t>
            </w:r>
            <w:r>
              <w:rPr>
                <w:rFonts w:hint="default" w:ascii="Times New Roman" w:hAnsi="Times New Roman" w:cs="Times New Roman"/>
                <w:shd w:val="clear" w:color="auto" w:fill="FFFFFF"/>
                <w:lang w:val="en-US" w:eastAsia="zh-CN"/>
              </w:rPr>
              <w:t>第</w:t>
            </w:r>
            <w:r>
              <w:rPr>
                <w:rFonts w:hint="default" w:ascii="Times New Roman" w:hAnsi="Times New Roman" w:cs="Times New Roman"/>
                <w:i/>
                <w:iCs/>
                <w:shd w:val="clear" w:color="auto" w:fill="FFFFFF"/>
                <w:lang w:val="en-US" w:eastAsia="zh-CN"/>
              </w:rPr>
              <w:t>i</w:t>
            </w:r>
            <w:r>
              <w:rPr>
                <w:rFonts w:hint="default" w:ascii="Times New Roman" w:hAnsi="Times New Roman" w:cs="Times New Roman"/>
                <w:shd w:val="clear" w:color="auto" w:fill="FFFFFF"/>
                <w:lang w:val="en-US" w:eastAsia="zh-CN"/>
              </w:rPr>
              <w:t>类</w:t>
            </w:r>
            <w:r>
              <w:rPr>
                <w:rFonts w:hint="eastAsia" w:cs="Times New Roman"/>
                <w:szCs w:val="21"/>
                <w:lang w:val="en-US" w:eastAsia="zh-CN"/>
              </w:rPr>
              <w:t>温室气体为二氧化碳。</w:t>
            </w:r>
          </w:p>
        </w:tc>
      </w:tr>
    </w:tbl>
    <w:p w14:paraId="3BF134F1">
      <w:pPr>
        <w:pStyle w:val="26"/>
        <w:widowControl/>
        <w:autoSpaceDE w:val="0"/>
        <w:autoSpaceDN w:val="0"/>
        <w:spacing w:line="360" w:lineRule="auto"/>
        <w:ind w:firstLine="420" w:firstLineChars="200"/>
        <w:jc w:val="right"/>
        <w:rPr>
          <w:kern w:val="0"/>
          <w:szCs w:val="21"/>
          <w:highlight w:val="none"/>
        </w:rPr>
      </w:pPr>
      <m:oMath>
        <m:sSub>
          <m:sSubPr>
            <m:ctrlPr>
              <w:rPr>
                <w:rFonts w:ascii="Cambria Math" w:hAnsi="Cambria Math"/>
                <w:i/>
                <w:kern w:val="0"/>
                <w:szCs w:val="21"/>
                <w:highlight w:val="none"/>
              </w:rPr>
            </m:ctrlPr>
          </m:sSubPr>
          <m:e>
            <m:r>
              <m:rPr/>
              <w:rPr>
                <w:rFonts w:ascii="Cambria Math" w:hAnsi="Cambria Math"/>
                <w:kern w:val="0"/>
                <w:szCs w:val="21"/>
                <w:highlight w:val="none"/>
              </w:rPr>
              <m:t>E</m:t>
            </m:r>
            <m:ctrlPr>
              <w:rPr>
                <w:rFonts w:ascii="Cambria Math" w:hAnsi="Cambria Math"/>
                <w:i/>
                <w:kern w:val="0"/>
                <w:szCs w:val="21"/>
                <w:highlight w:val="none"/>
              </w:rPr>
            </m:ctrlPr>
          </m:e>
          <m:sub>
            <m:r>
              <m:rPr>
                <m:sty m:val="p"/>
              </m:rPr>
              <w:rPr>
                <w:rFonts w:hint="eastAsia" w:ascii="Cambria Math" w:hAnsi="Cambria Math"/>
                <w:kern w:val="0"/>
                <w:szCs w:val="21"/>
                <w:highlight w:val="none"/>
              </w:rPr>
              <m:t>燃烧</m:t>
            </m:r>
            <m:r>
              <m:rPr/>
              <w:rPr>
                <w:rFonts w:hint="default" w:ascii="Cambria Math" w:hAnsi="Cambria Math"/>
                <w:kern w:val="0"/>
                <w:szCs w:val="21"/>
                <w:highlight w:val="none"/>
                <w:lang w:val="en-US" w:eastAsia="zh-CN"/>
              </w:rPr>
              <m:t>1</m:t>
            </m:r>
            <m:r>
              <m:rPr/>
              <w:rPr>
                <w:rFonts w:ascii="Cambria Math" w:hAnsi="Cambria Math"/>
                <w:kern w:val="0"/>
                <w:szCs w:val="21"/>
                <w:highlight w:val="none"/>
              </w:rPr>
              <m:t>,i</m:t>
            </m:r>
            <m:ctrlPr>
              <w:rPr>
                <w:rFonts w:ascii="Cambria Math" w:hAnsi="Cambria Math"/>
                <w:i/>
                <w:kern w:val="0"/>
                <w:szCs w:val="21"/>
                <w:highlight w:val="none"/>
              </w:rPr>
            </m:ctrlPr>
          </m:sub>
        </m:sSub>
        <m:r>
          <m:rPr/>
          <w:rPr>
            <w:rFonts w:ascii="Cambria Math" w:hAnsi="Cambria Math"/>
            <w:kern w:val="0"/>
            <w:szCs w:val="21"/>
            <w:highlight w:val="none"/>
          </w:rPr>
          <m:t>=</m:t>
        </m:r>
        <m:nary>
          <m:naryPr>
            <m:chr m:val="∑"/>
            <m:limLoc m:val="undOvr"/>
            <m:subHide m:val="1"/>
            <m:supHide m:val="1"/>
            <m:ctrlPr>
              <w:rPr>
                <w:rFonts w:ascii="Cambria Math" w:hAnsi="Cambria Math"/>
                <w:i/>
                <w:kern w:val="0"/>
                <w:szCs w:val="21"/>
                <w:highlight w:val="none"/>
              </w:rPr>
            </m:ctrlPr>
          </m:naryPr>
          <m:sub>
            <m:ctrlPr>
              <w:rPr>
                <w:rFonts w:ascii="Cambria Math" w:hAnsi="Cambria Math"/>
                <w:i/>
                <w:kern w:val="0"/>
                <w:szCs w:val="21"/>
                <w:highlight w:val="none"/>
              </w:rPr>
            </m:ctrlPr>
          </m:sub>
          <m:sup>
            <m:ctrlPr>
              <w:rPr>
                <w:rFonts w:ascii="Cambria Math" w:hAnsi="Cambria Math"/>
                <w:i/>
                <w:kern w:val="0"/>
                <w:szCs w:val="21"/>
                <w:highlight w:val="none"/>
              </w:rPr>
            </m:ctrlPr>
          </m:sup>
          <m:e>
            <m:r>
              <m:rPr/>
              <w:rPr>
                <w:rFonts w:ascii="Cambria Math" w:hAnsi="Cambria Math"/>
                <w:kern w:val="0"/>
                <w:szCs w:val="21"/>
                <w:highlight w:val="none"/>
              </w:rPr>
              <m:t>(</m:t>
            </m:r>
            <m:sSub>
              <m:sSubPr>
                <m:ctrlPr>
                  <w:rPr>
                    <w:rFonts w:ascii="Cambria Math" w:hAnsi="Cambria Math"/>
                    <w:i/>
                    <w:kern w:val="0"/>
                    <w:szCs w:val="21"/>
                    <w:highlight w:val="none"/>
                  </w:rPr>
                </m:ctrlPr>
              </m:sSubPr>
              <m:e>
                <m:sSub>
                  <m:sSubPr>
                    <m:ctrlPr>
                      <w:rPr>
                        <w:rFonts w:ascii="Cambria Math" w:hAnsi="Cambria Math"/>
                        <w:i/>
                        <w:kern w:val="0"/>
                        <w:szCs w:val="21"/>
                        <w:highlight w:val="none"/>
                      </w:rPr>
                    </m:ctrlPr>
                  </m:sSubPr>
                  <m:e>
                    <m:r>
                      <m:rPr/>
                      <w:rPr>
                        <w:rFonts w:ascii="Cambria Math" w:hAnsi="Cambria Math"/>
                        <w:kern w:val="0"/>
                        <w:szCs w:val="21"/>
                        <w:highlight w:val="none"/>
                      </w:rPr>
                      <m:t>FC</m:t>
                    </m:r>
                    <m:ctrlPr>
                      <w:rPr>
                        <w:rFonts w:ascii="Cambria Math" w:hAnsi="Cambria Math"/>
                        <w:i/>
                        <w:kern w:val="0"/>
                        <w:szCs w:val="21"/>
                        <w:highlight w:val="none"/>
                      </w:rPr>
                    </m:ctrlPr>
                  </m:e>
                  <m:sub>
                    <m:r>
                      <m:rPr/>
                      <w:rPr>
                        <w:rFonts w:ascii="Cambria Math" w:hAnsi="Cambria Math"/>
                        <w:kern w:val="0"/>
                        <w:szCs w:val="21"/>
                        <w:highlight w:val="none"/>
                      </w:rPr>
                      <m:t>j,k</m:t>
                    </m:r>
                    <m:ctrlPr>
                      <w:rPr>
                        <w:rFonts w:ascii="Cambria Math" w:hAnsi="Cambria Math"/>
                        <w:i/>
                        <w:kern w:val="0"/>
                        <w:szCs w:val="21"/>
                        <w:highlight w:val="none"/>
                      </w:rPr>
                    </m:ctrlPr>
                  </m:sub>
                </m:sSub>
                <m:r>
                  <m:rPr/>
                  <w:rPr>
                    <w:rFonts w:hint="eastAsia" w:ascii="Cambria Math" w:hAnsi="Cambria Math"/>
                    <w:kern w:val="0"/>
                    <w:szCs w:val="21"/>
                    <w:highlight w:val="none"/>
                    <w:lang w:val="en-US" w:eastAsia="zh-CN"/>
                  </w:rPr>
                  <m:t>×</m:t>
                </m:r>
                <m:r>
                  <m:rPr/>
                  <w:rPr>
                    <w:rFonts w:ascii="Cambria Math" w:hAnsi="Cambria Math"/>
                    <w:kern w:val="0"/>
                    <w:szCs w:val="21"/>
                    <w:highlight w:val="none"/>
                  </w:rPr>
                  <m:t>NCV</m:t>
                </m:r>
                <m:ctrlPr>
                  <w:rPr>
                    <w:rFonts w:ascii="Cambria Math" w:hAnsi="Cambria Math"/>
                    <w:i/>
                    <w:kern w:val="0"/>
                    <w:szCs w:val="21"/>
                    <w:highlight w:val="none"/>
                  </w:rPr>
                </m:ctrlPr>
              </m:e>
              <m:sub>
                <m:r>
                  <m:rPr/>
                  <w:rPr>
                    <w:rFonts w:ascii="Cambria Math" w:hAnsi="Cambria Math"/>
                    <w:kern w:val="0"/>
                    <w:szCs w:val="21"/>
                    <w:highlight w:val="none"/>
                  </w:rPr>
                  <m:t>j</m:t>
                </m:r>
                <m:ctrlPr>
                  <w:rPr>
                    <w:rFonts w:ascii="Cambria Math" w:hAnsi="Cambria Math"/>
                    <w:i/>
                    <w:kern w:val="0"/>
                    <w:szCs w:val="21"/>
                    <w:highlight w:val="none"/>
                  </w:rPr>
                </m:ctrlPr>
              </m:sub>
            </m:sSub>
            <m:r>
              <m:rPr/>
              <w:rPr>
                <w:rFonts w:ascii="Cambria Math" w:hAnsi="Cambria Math"/>
                <w:kern w:val="0"/>
                <w:szCs w:val="21"/>
                <w:highlight w:val="none"/>
              </w:rPr>
              <m:t>×</m:t>
            </m:r>
            <m:sSub>
              <m:sSubPr>
                <m:ctrlPr>
                  <w:rPr>
                    <w:rFonts w:ascii="Cambria Math" w:hAnsi="Cambria Math"/>
                    <w:i/>
                    <w:kern w:val="0"/>
                    <w:szCs w:val="21"/>
                    <w:highlight w:val="none"/>
                  </w:rPr>
                </m:ctrlPr>
              </m:sSubPr>
              <m:e>
                <m:r>
                  <m:rPr/>
                  <w:rPr>
                    <w:rFonts w:ascii="Cambria Math" w:hAnsi="Cambria Math"/>
                    <w:kern w:val="0"/>
                    <w:szCs w:val="21"/>
                    <w:highlight w:val="none"/>
                  </w:rPr>
                  <m:t>EF</m:t>
                </m:r>
                <m:ctrlPr>
                  <w:rPr>
                    <w:rFonts w:ascii="Cambria Math" w:hAnsi="Cambria Math"/>
                    <w:i/>
                    <w:kern w:val="0"/>
                    <w:szCs w:val="21"/>
                    <w:highlight w:val="none"/>
                  </w:rPr>
                </m:ctrlPr>
              </m:e>
              <m:sub>
                <m:r>
                  <m:rPr/>
                  <w:rPr>
                    <w:rFonts w:ascii="Cambria Math" w:hAnsi="Cambria Math"/>
                    <w:kern w:val="0"/>
                    <w:szCs w:val="21"/>
                    <w:highlight w:val="none"/>
                  </w:rPr>
                  <m:t>i,j,k</m:t>
                </m:r>
                <m:ctrlPr>
                  <w:rPr>
                    <w:rFonts w:ascii="Cambria Math" w:hAnsi="Cambria Math"/>
                    <w:i/>
                    <w:kern w:val="0"/>
                    <w:szCs w:val="21"/>
                    <w:highlight w:val="none"/>
                  </w:rPr>
                </m:ctrlPr>
              </m:sub>
            </m:sSub>
            <m:r>
              <m:rPr/>
              <w:rPr>
                <w:rFonts w:ascii="Cambria Math" w:hAnsi="Cambria Math"/>
                <w:kern w:val="0"/>
                <w:szCs w:val="21"/>
                <w:highlight w:val="none"/>
              </w:rPr>
              <m:t>)</m:t>
            </m:r>
            <m:ctrlPr>
              <w:rPr>
                <w:rFonts w:ascii="Cambria Math" w:hAnsi="Cambria Math"/>
                <w:i/>
                <w:kern w:val="0"/>
                <w:szCs w:val="21"/>
                <w:highlight w:val="none"/>
              </w:rPr>
            </m:ctrlPr>
          </m:e>
        </m:nary>
      </m:oMath>
      <w:r>
        <w:rPr>
          <w:rFonts w:hint="eastAsia"/>
          <w:kern w:val="0"/>
          <w:szCs w:val="21"/>
          <w:highlight w:val="none"/>
        </w:rPr>
        <w:t xml:space="preserve">     </w:t>
      </w:r>
      <w:r>
        <w:rPr>
          <w:kern w:val="0"/>
          <w:szCs w:val="21"/>
          <w:highlight w:val="none"/>
        </w:rPr>
        <w:t xml:space="preserve">    </w:t>
      </w:r>
      <w:r>
        <w:rPr>
          <w:rFonts w:hint="eastAsia"/>
          <w:kern w:val="0"/>
          <w:szCs w:val="21"/>
          <w:highlight w:val="none"/>
        </w:rPr>
        <w:t xml:space="preserve">   </w:t>
      </w:r>
      <w:r>
        <w:rPr>
          <w:kern w:val="0"/>
          <w:szCs w:val="21"/>
          <w:highlight w:val="none"/>
        </w:rPr>
        <w:t xml:space="preserve"> </w:t>
      </w:r>
      <w:r>
        <w:rPr>
          <w:rFonts w:ascii="Times New Roman" w:hAnsi="Times New Roman" w:cs="Times New Roman"/>
          <w:kern w:val="0"/>
          <w:szCs w:val="21"/>
          <w:highlight w:val="none"/>
        </w:rPr>
        <w:t xml:space="preserve"> </w:t>
      </w:r>
      <w:r>
        <w:rPr>
          <w:rFonts w:hint="eastAsia" w:ascii="Times New Roman" w:hAnsi="Times New Roman" w:cs="Times New Roman"/>
          <w:kern w:val="0"/>
          <w:szCs w:val="21"/>
          <w:highlight w:val="none"/>
          <w:lang w:val="en-US" w:eastAsia="zh-CN"/>
        </w:rPr>
        <w:t xml:space="preserve">  </w:t>
      </w:r>
      <w:r>
        <w:rPr>
          <w:rFonts w:ascii="Times New Roman" w:hAnsi="Times New Roman" w:cs="Times New Roman"/>
          <w:kern w:val="0"/>
          <w:szCs w:val="21"/>
          <w:highlight w:val="none"/>
        </w:rPr>
        <w:t xml:space="preserve">   </w:t>
      </w:r>
      <w:r>
        <w:rPr>
          <w:rFonts w:hint="default" w:ascii="Times New Roman" w:hAnsi="Times New Roman" w:cs="Times New Roman"/>
          <w:kern w:val="0"/>
          <w:szCs w:val="21"/>
          <w:highlight w:val="none"/>
          <w:lang w:val="en-US" w:eastAsia="zh-CN"/>
        </w:rPr>
        <w:t xml:space="preserve">   </w:t>
      </w:r>
      <w:r>
        <w:rPr>
          <w:rFonts w:ascii="Times New Roman" w:hAnsi="Times New Roman" w:cs="Times New Roman"/>
          <w:kern w:val="0"/>
          <w:szCs w:val="21"/>
          <w:highlight w:val="none"/>
        </w:rPr>
        <w:t xml:space="preserve">    </w:t>
      </w:r>
      <w:r>
        <w:rPr>
          <w:rFonts w:hint="default" w:ascii="Times New Roman" w:hAnsi="Times New Roman" w:cs="Times New Roman"/>
          <w:kern w:val="0"/>
          <w:szCs w:val="21"/>
          <w:highlight w:val="none"/>
        </w:rPr>
        <w:t>（</w:t>
      </w:r>
      <w:r>
        <w:rPr>
          <w:rFonts w:hint="default" w:ascii="Times New Roman" w:hAnsi="Times New Roman" w:cs="Times New Roman"/>
          <w:kern w:val="0"/>
          <w:szCs w:val="21"/>
          <w:highlight w:val="none"/>
          <w:lang w:val="en-US" w:eastAsia="zh-CN"/>
        </w:rPr>
        <w:t>6</w:t>
      </w:r>
      <w:r>
        <w:rPr>
          <w:rFonts w:hint="default" w:ascii="Times New Roman" w:hAnsi="Times New Roman" w:cs="Times New Roman"/>
          <w:kern w:val="0"/>
          <w:szCs w:val="21"/>
          <w:highlight w:val="none"/>
        </w:rPr>
        <w:t>）</w:t>
      </w:r>
    </w:p>
    <w:p w14:paraId="75BE150A">
      <w:pPr>
        <w:widowControl/>
        <w:tabs>
          <w:tab w:val="center" w:pos="4201"/>
          <w:tab w:val="right" w:leader="dot" w:pos="9298"/>
        </w:tabs>
        <w:autoSpaceDE w:val="0"/>
        <w:autoSpaceDN w:val="0"/>
        <w:spacing w:line="360" w:lineRule="auto"/>
        <w:ind w:firstLine="420" w:firstLineChars="200"/>
        <w:jc w:val="left"/>
        <w:rPr>
          <w:kern w:val="0"/>
          <w:szCs w:val="21"/>
          <w:highlight w:val="none"/>
        </w:rPr>
      </w:pPr>
      <w:r>
        <w:rPr>
          <w:rFonts w:hint="eastAsia"/>
          <w:kern w:val="0"/>
          <w:szCs w:val="21"/>
          <w:highlight w:val="none"/>
        </w:rPr>
        <w:t>式中：</w:t>
      </w:r>
    </w:p>
    <w:tbl>
      <w:tblPr>
        <w:tblStyle w:val="35"/>
        <w:tblW w:w="4792" w:type="pct"/>
        <w:jc w:val="right"/>
        <w:tblLayout w:type="fixed"/>
        <w:tblCellMar>
          <w:top w:w="0" w:type="dxa"/>
          <w:left w:w="108" w:type="dxa"/>
          <w:bottom w:w="0" w:type="dxa"/>
          <w:right w:w="108" w:type="dxa"/>
        </w:tblCellMar>
      </w:tblPr>
      <w:tblGrid>
        <w:gridCol w:w="687"/>
        <w:gridCol w:w="388"/>
        <w:gridCol w:w="8477"/>
      </w:tblGrid>
      <w:tr w14:paraId="0135C500">
        <w:tblPrEx>
          <w:tblCellMar>
            <w:top w:w="0" w:type="dxa"/>
            <w:left w:w="108" w:type="dxa"/>
            <w:bottom w:w="0" w:type="dxa"/>
            <w:right w:w="108" w:type="dxa"/>
          </w:tblCellMar>
        </w:tblPrEx>
        <w:trPr>
          <w:trHeight w:val="397" w:hRule="atLeast"/>
          <w:jc w:val="right"/>
        </w:trPr>
        <w:tc>
          <w:tcPr>
            <w:tcW w:w="687" w:type="dxa"/>
            <w:vAlign w:val="center"/>
          </w:tcPr>
          <w:p w14:paraId="104AB53A">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highlight w:val="none"/>
                <w:lang w:val="en-US" w:eastAsia="zh-CN"/>
                <w:oMath/>
              </w:rPr>
            </w:pPr>
            <m:oMathPara>
              <m:oMathParaPr>
                <m:jc m:val="left"/>
              </m:oMathParaPr>
              <m:oMath>
                <m:sSub>
                  <m:sSubPr>
                    <m:ctrlPr>
                      <w:rPr>
                        <w:rFonts w:hint="default" w:ascii="Cambria Math" w:hAnsi="Cambria Math" w:eastAsia="宋体" w:cs="Times New Roman"/>
                        <w:i/>
                        <w:szCs w:val="21"/>
                        <w:highlight w:val="none"/>
                        <w:lang w:val="en-US" w:eastAsia="zh-CN"/>
                      </w:rPr>
                    </m:ctrlPr>
                  </m:sSubPr>
                  <m:e>
                    <m:r>
                      <m:rPr/>
                      <w:rPr>
                        <w:rFonts w:hint="default" w:ascii="Cambria Math" w:hAnsi="Cambria Math" w:eastAsia="宋体" w:cs="Times New Roman"/>
                        <w:szCs w:val="21"/>
                        <w:highlight w:val="none"/>
                        <w:lang w:val="en-US" w:eastAsia="zh-CN"/>
                      </w:rPr>
                      <m:t>FC</m:t>
                    </m:r>
                    <m:ctrlPr>
                      <w:rPr>
                        <w:rFonts w:hint="default" w:ascii="Cambria Math" w:hAnsi="Cambria Math" w:eastAsia="宋体" w:cs="Times New Roman"/>
                        <w:i/>
                        <w:szCs w:val="21"/>
                        <w:highlight w:val="none"/>
                        <w:lang w:val="en-US" w:eastAsia="zh-CN"/>
                      </w:rPr>
                    </m:ctrlPr>
                  </m:e>
                  <m:sub>
                    <m:r>
                      <m:rPr/>
                      <w:rPr>
                        <w:rFonts w:hint="default" w:ascii="Cambria Math" w:hAnsi="Cambria Math" w:eastAsia="宋体" w:cs="Times New Roman"/>
                        <w:szCs w:val="21"/>
                        <w:highlight w:val="none"/>
                        <w:lang w:val="en-US" w:eastAsia="zh-CN"/>
                      </w:rPr>
                      <m:t>j,k</m:t>
                    </m:r>
                    <m:ctrlPr>
                      <w:rPr>
                        <w:rFonts w:hint="default" w:ascii="Cambria Math" w:hAnsi="Cambria Math" w:eastAsia="宋体" w:cs="Times New Roman"/>
                        <w:i/>
                        <w:szCs w:val="21"/>
                        <w:highlight w:val="none"/>
                        <w:lang w:val="en-US" w:eastAsia="zh-CN"/>
                      </w:rPr>
                    </m:ctrlPr>
                  </m:sub>
                </m:sSub>
              </m:oMath>
            </m:oMathPara>
          </w:p>
        </w:tc>
        <w:tc>
          <w:tcPr>
            <w:tcW w:w="388" w:type="dxa"/>
            <w:vAlign w:val="top"/>
          </w:tcPr>
          <w:p w14:paraId="16CC915B">
            <w:pPr>
              <w:pStyle w:val="26"/>
              <w:spacing w:line="360" w:lineRule="auto"/>
              <w:ind w:firstLine="0" w:firstLineChars="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w:t>
            </w:r>
          </w:p>
        </w:tc>
        <w:tc>
          <w:tcPr>
            <w:tcW w:w="8479" w:type="dxa"/>
            <w:vAlign w:val="center"/>
          </w:tcPr>
          <w:p w14:paraId="5A571273">
            <w:pPr>
              <w:tabs>
                <w:tab w:val="center" w:pos="4338"/>
                <w:tab w:val="right" w:pos="8675"/>
              </w:tabs>
              <w:adjustRightInd w:val="0"/>
              <w:snapToGrid w:val="0"/>
              <w:spacing w:line="240" w:lineRule="auto"/>
              <w:ind w:firstLine="0" w:firstLineChars="0"/>
              <w:jc w:val="left"/>
              <w:rPr>
                <w:rFonts w:hint="eastAsia"/>
                <w:kern w:val="0"/>
                <w:szCs w:val="21"/>
                <w:highlight w:val="none"/>
              </w:rPr>
            </w:pPr>
            <w:r>
              <w:rPr>
                <w:rFonts w:hint="eastAsia"/>
                <w:kern w:val="0"/>
                <w:szCs w:val="21"/>
                <w:highlight w:val="none"/>
              </w:rPr>
              <w:t>第</w:t>
            </w:r>
            <w:r>
              <w:rPr>
                <w:i/>
                <w:iCs/>
                <w:kern w:val="0"/>
                <w:szCs w:val="21"/>
                <w:highlight w:val="none"/>
              </w:rPr>
              <w:t>j</w:t>
            </w:r>
            <w:r>
              <w:rPr>
                <w:rFonts w:hint="eastAsia"/>
                <w:kern w:val="0"/>
                <w:szCs w:val="21"/>
                <w:highlight w:val="none"/>
              </w:rPr>
              <w:t>种</w:t>
            </w:r>
            <w:r>
              <w:rPr>
                <w:rFonts w:hint="eastAsia"/>
                <w:kern w:val="0"/>
                <w:szCs w:val="21"/>
                <w:highlight w:val="none"/>
                <w:lang w:val="en-US" w:eastAsia="zh-CN"/>
              </w:rPr>
              <w:t>化石</w:t>
            </w:r>
            <w:r>
              <w:rPr>
                <w:rFonts w:hint="eastAsia"/>
                <w:kern w:val="0"/>
                <w:szCs w:val="21"/>
                <w:highlight w:val="none"/>
              </w:rPr>
              <w:t>燃料</w:t>
            </w:r>
            <w:r>
              <w:rPr>
                <w:rFonts w:hint="eastAsia"/>
                <w:kern w:val="0"/>
                <w:szCs w:val="21"/>
                <w:highlight w:val="none"/>
                <w:lang w:val="en-US" w:eastAsia="zh-CN"/>
              </w:rPr>
              <w:t>的</w:t>
            </w:r>
            <w:r>
              <w:rPr>
                <w:rFonts w:hint="eastAsia"/>
                <w:kern w:val="0"/>
                <w:szCs w:val="21"/>
                <w:highlight w:val="none"/>
              </w:rPr>
              <w:t>第</w:t>
            </w:r>
            <w:r>
              <w:rPr>
                <w:rFonts w:hint="eastAsia"/>
                <w:i/>
                <w:iCs/>
                <w:kern w:val="0"/>
                <w:szCs w:val="21"/>
                <w:highlight w:val="none"/>
              </w:rPr>
              <w:t>k</w:t>
            </w:r>
            <w:r>
              <w:rPr>
                <w:rFonts w:hint="eastAsia"/>
                <w:kern w:val="0"/>
                <w:szCs w:val="21"/>
                <w:highlight w:val="none"/>
              </w:rPr>
              <w:t>种燃烧方式</w:t>
            </w:r>
            <w:r>
              <w:rPr>
                <w:rFonts w:hint="eastAsia"/>
                <w:kern w:val="0"/>
                <w:szCs w:val="21"/>
                <w:highlight w:val="none"/>
                <w:lang w:val="en-US" w:eastAsia="zh-CN"/>
              </w:rPr>
              <w:t>对应</w:t>
            </w:r>
            <w:r>
              <w:rPr>
                <w:rFonts w:hint="eastAsia"/>
                <w:kern w:val="0"/>
                <w:szCs w:val="21"/>
                <w:highlight w:val="none"/>
              </w:rPr>
              <w:t>的消耗量，单位为</w:t>
            </w:r>
            <w:r>
              <w:rPr>
                <w:rFonts w:hint="eastAsia"/>
                <w:kern w:val="0"/>
                <w:szCs w:val="21"/>
                <w:highlight w:val="none"/>
                <w:lang w:val="en-US" w:eastAsia="zh-CN"/>
              </w:rPr>
              <w:t>吨</w:t>
            </w:r>
            <w:r>
              <w:rPr>
                <w:rFonts w:hint="eastAsia"/>
                <w:kern w:val="0"/>
                <w:szCs w:val="21"/>
                <w:highlight w:val="none"/>
              </w:rPr>
              <w:t>（</w:t>
            </w:r>
            <w:r>
              <w:rPr>
                <w:rFonts w:hint="eastAsia"/>
                <w:kern w:val="0"/>
                <w:szCs w:val="21"/>
                <w:highlight w:val="none"/>
                <w:lang w:val="en-US" w:eastAsia="zh-CN"/>
              </w:rPr>
              <w:t>t</w:t>
            </w:r>
            <w:r>
              <w:rPr>
                <w:rFonts w:hint="eastAsia"/>
                <w:kern w:val="0"/>
                <w:szCs w:val="21"/>
                <w:highlight w:val="none"/>
              </w:rPr>
              <w:t>）或</w:t>
            </w:r>
            <w:r>
              <w:rPr>
                <w:rFonts w:hint="eastAsia"/>
                <w:kern w:val="0"/>
                <w:szCs w:val="21"/>
                <w:highlight w:val="none"/>
                <w:lang w:val="en-US" w:eastAsia="zh-CN"/>
              </w:rPr>
              <w:t>万</w:t>
            </w:r>
            <w:r>
              <w:rPr>
                <w:rFonts w:hint="eastAsia"/>
                <w:kern w:val="0"/>
                <w:szCs w:val="21"/>
                <w:highlight w:val="none"/>
              </w:rPr>
              <w:t>标立方米（</w:t>
            </w:r>
            <w:bookmarkStart w:id="35" w:name="OLE_LINK12"/>
            <w:r>
              <w:rPr>
                <w:rFonts w:hint="eastAsia"/>
                <w:kern w:val="0"/>
                <w:szCs w:val="21"/>
                <w:highlight w:val="none"/>
                <w:lang w:val="en-US" w:eastAsia="zh-CN"/>
              </w:rPr>
              <w:t>10</w:t>
            </w:r>
            <w:r>
              <w:rPr>
                <w:rFonts w:hint="eastAsia"/>
                <w:kern w:val="0"/>
                <w:szCs w:val="21"/>
                <w:highlight w:val="none"/>
                <w:vertAlign w:val="superscript"/>
                <w:lang w:val="en-US" w:eastAsia="zh-CN"/>
              </w:rPr>
              <w:t>4</w:t>
            </w:r>
            <w:bookmarkEnd w:id="35"/>
            <w:r>
              <w:rPr>
                <w:kern w:val="0"/>
                <w:szCs w:val="21"/>
                <w:highlight w:val="none"/>
              </w:rPr>
              <w:t>Nm</w:t>
            </w:r>
            <w:r>
              <w:rPr>
                <w:kern w:val="0"/>
                <w:szCs w:val="21"/>
                <w:highlight w:val="none"/>
                <w:vertAlign w:val="superscript"/>
              </w:rPr>
              <w:t>3</w:t>
            </w:r>
            <w:r>
              <w:rPr>
                <w:rFonts w:hint="eastAsia"/>
                <w:kern w:val="0"/>
                <w:szCs w:val="21"/>
                <w:highlight w:val="none"/>
              </w:rPr>
              <w:t>）</w:t>
            </w:r>
            <w:r>
              <w:rPr>
                <w:rFonts w:hint="eastAsia"/>
                <w:kern w:val="0"/>
                <w:szCs w:val="21"/>
                <w:highlight w:val="none"/>
                <w:lang w:eastAsia="zh-CN"/>
              </w:rPr>
              <w:t>；</w:t>
            </w:r>
          </w:p>
        </w:tc>
      </w:tr>
      <w:tr w14:paraId="4848C41D">
        <w:tblPrEx>
          <w:tblCellMar>
            <w:top w:w="0" w:type="dxa"/>
            <w:left w:w="108" w:type="dxa"/>
            <w:bottom w:w="0" w:type="dxa"/>
            <w:right w:w="108" w:type="dxa"/>
          </w:tblCellMar>
        </w:tblPrEx>
        <w:trPr>
          <w:trHeight w:val="397" w:hRule="atLeast"/>
          <w:jc w:val="right"/>
        </w:trPr>
        <w:tc>
          <w:tcPr>
            <w:tcW w:w="687" w:type="dxa"/>
            <w:vAlign w:val="center"/>
          </w:tcPr>
          <w:p w14:paraId="7ED1F073">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highlight w:val="none"/>
                <w:lang w:val="en-US" w:eastAsia="zh-CN"/>
                <w:oMath/>
              </w:rPr>
            </w:pPr>
            <m:oMathPara>
              <m:oMathParaPr>
                <m:jc m:val="left"/>
              </m:oMathParaPr>
              <m:oMath>
                <m:sSub>
                  <m:sSubPr>
                    <m:ctrlPr>
                      <w:rPr>
                        <w:rFonts w:hint="default" w:ascii="Cambria Math" w:hAnsi="Cambria Math" w:eastAsia="宋体" w:cs="Times New Roman"/>
                        <w:i/>
                        <w:szCs w:val="21"/>
                        <w:highlight w:val="none"/>
                        <w:lang w:val="en-US" w:eastAsia="zh-CN"/>
                      </w:rPr>
                    </m:ctrlPr>
                  </m:sSubPr>
                  <m:e>
                    <m:r>
                      <m:rPr/>
                      <w:rPr>
                        <w:rFonts w:hint="default" w:ascii="Cambria Math" w:hAnsi="Cambria Math" w:eastAsia="宋体" w:cs="Times New Roman"/>
                        <w:szCs w:val="21"/>
                        <w:highlight w:val="none"/>
                        <w:lang w:val="en-US" w:eastAsia="zh-CN"/>
                      </w:rPr>
                      <m:t>NCV</m:t>
                    </m:r>
                    <m:ctrlPr>
                      <w:rPr>
                        <w:rFonts w:hint="default" w:ascii="Cambria Math" w:hAnsi="Cambria Math" w:eastAsia="宋体" w:cs="Times New Roman"/>
                        <w:i/>
                        <w:szCs w:val="21"/>
                        <w:highlight w:val="none"/>
                        <w:lang w:val="en-US" w:eastAsia="zh-CN"/>
                      </w:rPr>
                    </m:ctrlPr>
                  </m:e>
                  <m:sub>
                    <m:r>
                      <m:rPr/>
                      <w:rPr>
                        <w:rFonts w:hint="default" w:ascii="Cambria Math" w:hAnsi="Cambria Math" w:eastAsia="宋体" w:cs="Times New Roman"/>
                        <w:szCs w:val="21"/>
                        <w:highlight w:val="none"/>
                        <w:lang w:val="en-US" w:eastAsia="zh-CN"/>
                      </w:rPr>
                      <m:t>j</m:t>
                    </m:r>
                    <m:ctrlPr>
                      <w:rPr>
                        <w:rFonts w:hint="default" w:ascii="Cambria Math" w:hAnsi="Cambria Math" w:eastAsia="宋体" w:cs="Times New Roman"/>
                        <w:i/>
                        <w:szCs w:val="21"/>
                        <w:highlight w:val="none"/>
                        <w:lang w:val="en-US" w:eastAsia="zh-CN"/>
                      </w:rPr>
                    </m:ctrlPr>
                  </m:sub>
                </m:sSub>
              </m:oMath>
            </m:oMathPara>
          </w:p>
        </w:tc>
        <w:tc>
          <w:tcPr>
            <w:tcW w:w="388" w:type="dxa"/>
            <w:vAlign w:val="top"/>
          </w:tcPr>
          <w:p w14:paraId="059871BB">
            <w:pPr>
              <w:pStyle w:val="26"/>
              <w:spacing w:line="360" w:lineRule="auto"/>
              <w:ind w:firstLine="0" w:firstLineChars="0"/>
              <w:rPr>
                <w:rFonts w:hint="default" w:ascii="Times New Roman" w:hAnsi="Times New Roman" w:cs="Times New Roman"/>
                <w:szCs w:val="21"/>
                <w:highlight w:val="none"/>
              </w:rPr>
            </w:pPr>
            <w:r>
              <w:rPr>
                <w:rFonts w:hint="default" w:ascii="Times New Roman" w:hAnsi="Times New Roman" w:eastAsia="宋体" w:cs="Times New Roman"/>
                <w:color w:val="auto"/>
                <w:szCs w:val="21"/>
                <w:highlight w:val="none"/>
              </w:rPr>
              <w:t>—</w:t>
            </w:r>
          </w:p>
        </w:tc>
        <w:tc>
          <w:tcPr>
            <w:tcW w:w="8479" w:type="dxa"/>
            <w:vAlign w:val="center"/>
          </w:tcPr>
          <w:p w14:paraId="6D3A7EC2">
            <w:pPr>
              <w:tabs>
                <w:tab w:val="center" w:pos="4338"/>
                <w:tab w:val="right" w:pos="8675"/>
              </w:tabs>
              <w:adjustRightInd w:val="0"/>
              <w:snapToGrid w:val="0"/>
              <w:spacing w:line="240" w:lineRule="auto"/>
              <w:ind w:firstLine="0" w:firstLineChars="0"/>
              <w:jc w:val="both"/>
              <w:rPr>
                <w:rFonts w:hint="eastAsia" w:ascii="Times New Roman" w:hAnsi="Times New Roman" w:eastAsia="宋体" w:cs="Times New Roman"/>
                <w:highlight w:val="none"/>
                <w:lang w:val="en-US" w:eastAsia="zh-CN"/>
              </w:rPr>
            </w:pPr>
            <w:r>
              <w:rPr>
                <w:rFonts w:hint="eastAsia"/>
                <w:kern w:val="0"/>
                <w:szCs w:val="21"/>
                <w:highlight w:val="none"/>
              </w:rPr>
              <w:t>第</w:t>
            </w:r>
            <w:r>
              <w:rPr>
                <w:i/>
                <w:iCs/>
                <w:kern w:val="0"/>
                <w:szCs w:val="21"/>
                <w:highlight w:val="none"/>
              </w:rPr>
              <w:t>j</w:t>
            </w:r>
            <w:r>
              <w:rPr>
                <w:rFonts w:hint="eastAsia"/>
                <w:kern w:val="0"/>
                <w:szCs w:val="21"/>
                <w:highlight w:val="none"/>
              </w:rPr>
              <w:t>种</w:t>
            </w:r>
            <w:r>
              <w:rPr>
                <w:rFonts w:hint="eastAsia"/>
                <w:kern w:val="0"/>
                <w:szCs w:val="21"/>
                <w:highlight w:val="none"/>
                <w:lang w:val="en-US" w:eastAsia="zh-CN"/>
              </w:rPr>
              <w:t>化石</w:t>
            </w:r>
            <w:r>
              <w:rPr>
                <w:rFonts w:hint="eastAsia"/>
                <w:kern w:val="0"/>
                <w:szCs w:val="21"/>
                <w:highlight w:val="none"/>
              </w:rPr>
              <w:t>燃料的平均低位发热量，单位为吉焦每</w:t>
            </w:r>
            <w:r>
              <w:rPr>
                <w:rFonts w:hint="eastAsia"/>
                <w:kern w:val="0"/>
                <w:szCs w:val="21"/>
                <w:highlight w:val="none"/>
                <w:lang w:val="en-US" w:eastAsia="zh-CN"/>
              </w:rPr>
              <w:t>吨</w:t>
            </w:r>
            <w:r>
              <w:rPr>
                <w:rFonts w:hint="eastAsia"/>
                <w:kern w:val="0"/>
                <w:szCs w:val="21"/>
                <w:highlight w:val="none"/>
              </w:rPr>
              <w:t>（G</w:t>
            </w:r>
            <w:r>
              <w:rPr>
                <w:kern w:val="0"/>
                <w:szCs w:val="21"/>
                <w:highlight w:val="none"/>
              </w:rPr>
              <w:t>J/</w:t>
            </w:r>
            <w:r>
              <w:rPr>
                <w:rFonts w:hint="eastAsia"/>
                <w:kern w:val="0"/>
                <w:szCs w:val="21"/>
                <w:highlight w:val="none"/>
                <w:lang w:val="en-US" w:eastAsia="zh-CN"/>
              </w:rPr>
              <w:t>t</w:t>
            </w:r>
            <w:r>
              <w:rPr>
                <w:rFonts w:hint="eastAsia"/>
                <w:kern w:val="0"/>
                <w:szCs w:val="21"/>
                <w:highlight w:val="none"/>
              </w:rPr>
              <w:t>）或吉焦每</w:t>
            </w:r>
            <w:r>
              <w:rPr>
                <w:rFonts w:hint="eastAsia"/>
                <w:kern w:val="0"/>
                <w:szCs w:val="21"/>
                <w:highlight w:val="none"/>
                <w:lang w:val="en-US" w:eastAsia="zh-CN"/>
              </w:rPr>
              <w:t>万</w:t>
            </w:r>
            <w:r>
              <w:rPr>
                <w:rFonts w:hint="eastAsia"/>
                <w:kern w:val="0"/>
                <w:szCs w:val="21"/>
                <w:highlight w:val="none"/>
              </w:rPr>
              <w:t>标立方米（G</w:t>
            </w:r>
            <w:r>
              <w:rPr>
                <w:kern w:val="0"/>
                <w:szCs w:val="21"/>
                <w:highlight w:val="none"/>
              </w:rPr>
              <w:t>J</w:t>
            </w:r>
            <w:r>
              <w:rPr>
                <w:rFonts w:hint="eastAsia"/>
                <w:kern w:val="0"/>
                <w:szCs w:val="21"/>
                <w:highlight w:val="none"/>
              </w:rPr>
              <w:t>/</w:t>
            </w:r>
            <w:r>
              <w:rPr>
                <w:rFonts w:hint="eastAsia"/>
                <w:kern w:val="0"/>
                <w:szCs w:val="21"/>
                <w:highlight w:val="none"/>
                <w:lang w:val="en-US" w:eastAsia="zh-CN"/>
              </w:rPr>
              <w:t>10</w:t>
            </w:r>
            <w:r>
              <w:rPr>
                <w:rFonts w:hint="eastAsia"/>
                <w:kern w:val="0"/>
                <w:szCs w:val="21"/>
                <w:highlight w:val="none"/>
                <w:vertAlign w:val="superscript"/>
                <w:lang w:val="en-US" w:eastAsia="zh-CN"/>
              </w:rPr>
              <w:t>4</w:t>
            </w:r>
            <w:r>
              <w:rPr>
                <w:kern w:val="0"/>
                <w:szCs w:val="21"/>
                <w:highlight w:val="none"/>
              </w:rPr>
              <w:t>Nm</w:t>
            </w:r>
            <w:r>
              <w:rPr>
                <w:kern w:val="0"/>
                <w:szCs w:val="21"/>
                <w:highlight w:val="none"/>
                <w:vertAlign w:val="superscript"/>
              </w:rPr>
              <w:t>3</w:t>
            </w:r>
            <w:r>
              <w:rPr>
                <w:rFonts w:hint="eastAsia"/>
                <w:kern w:val="0"/>
                <w:szCs w:val="21"/>
                <w:highlight w:val="none"/>
              </w:rPr>
              <w:t>）</w:t>
            </w:r>
            <w:r>
              <w:rPr>
                <w:rFonts w:hint="eastAsia"/>
                <w:kern w:val="0"/>
                <w:szCs w:val="21"/>
                <w:highlight w:val="none"/>
                <w:lang w:eastAsia="zh-CN"/>
              </w:rPr>
              <w:t>；</w:t>
            </w:r>
          </w:p>
        </w:tc>
      </w:tr>
      <w:tr w14:paraId="18D4690B">
        <w:tblPrEx>
          <w:tblCellMar>
            <w:top w:w="0" w:type="dxa"/>
            <w:left w:w="108" w:type="dxa"/>
            <w:bottom w:w="0" w:type="dxa"/>
            <w:right w:w="108" w:type="dxa"/>
          </w:tblCellMar>
        </w:tblPrEx>
        <w:trPr>
          <w:trHeight w:val="397" w:hRule="atLeast"/>
          <w:jc w:val="right"/>
        </w:trPr>
        <w:tc>
          <w:tcPr>
            <w:tcW w:w="687" w:type="dxa"/>
            <w:vAlign w:val="center"/>
          </w:tcPr>
          <w:p w14:paraId="738C8D1B">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highlight w:val="none"/>
                <w:lang w:val="en-US" w:eastAsia="zh-CN"/>
                <w:oMath/>
              </w:rPr>
            </w:pPr>
            <m:oMathPara>
              <m:oMathParaPr>
                <m:jc m:val="left"/>
              </m:oMathParaPr>
              <m:oMath>
                <m:sSub>
                  <m:sSubPr>
                    <m:ctrlPr>
                      <w:rPr>
                        <w:rFonts w:hint="default" w:ascii="Cambria Math" w:hAnsi="Cambria Math" w:eastAsia="宋体" w:cs="Times New Roman"/>
                        <w:i/>
                        <w:szCs w:val="21"/>
                        <w:highlight w:val="none"/>
                        <w:lang w:val="en-US" w:eastAsia="zh-CN"/>
                      </w:rPr>
                    </m:ctrlPr>
                  </m:sSubPr>
                  <m:e>
                    <m:r>
                      <m:rPr/>
                      <w:rPr>
                        <w:rFonts w:hint="default" w:ascii="Cambria Math" w:hAnsi="Cambria Math" w:eastAsia="宋体" w:cs="Times New Roman"/>
                        <w:szCs w:val="21"/>
                        <w:highlight w:val="none"/>
                        <w:lang w:val="en-US" w:eastAsia="zh-CN"/>
                      </w:rPr>
                      <m:t>EF</m:t>
                    </m:r>
                    <m:ctrlPr>
                      <w:rPr>
                        <w:rFonts w:hint="default" w:ascii="Cambria Math" w:hAnsi="Cambria Math" w:eastAsia="宋体" w:cs="Times New Roman"/>
                        <w:i/>
                        <w:szCs w:val="21"/>
                        <w:highlight w:val="none"/>
                        <w:lang w:val="en-US" w:eastAsia="zh-CN"/>
                      </w:rPr>
                    </m:ctrlPr>
                  </m:e>
                  <m:sub>
                    <m:r>
                      <m:rPr/>
                      <w:rPr>
                        <w:rFonts w:hint="default" w:ascii="Cambria Math" w:hAnsi="Cambria Math" w:eastAsia="宋体" w:cs="Times New Roman"/>
                        <w:szCs w:val="21"/>
                        <w:highlight w:val="none"/>
                        <w:lang w:val="en-US" w:eastAsia="zh-CN"/>
                      </w:rPr>
                      <m:t>i,j,k</m:t>
                    </m:r>
                    <m:ctrlPr>
                      <w:rPr>
                        <w:rFonts w:hint="default" w:ascii="Cambria Math" w:hAnsi="Cambria Math" w:eastAsia="宋体" w:cs="Times New Roman"/>
                        <w:i/>
                        <w:szCs w:val="21"/>
                        <w:highlight w:val="none"/>
                        <w:lang w:val="en-US" w:eastAsia="zh-CN"/>
                      </w:rPr>
                    </m:ctrlPr>
                  </m:sub>
                </m:sSub>
              </m:oMath>
            </m:oMathPara>
          </w:p>
        </w:tc>
        <w:tc>
          <w:tcPr>
            <w:tcW w:w="388" w:type="dxa"/>
            <w:vAlign w:val="top"/>
          </w:tcPr>
          <w:p w14:paraId="5829B2C7">
            <w:pPr>
              <w:pStyle w:val="26"/>
              <w:spacing w:line="360" w:lineRule="auto"/>
              <w:ind w:firstLine="0" w:firstLineChars="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w:t>
            </w:r>
          </w:p>
        </w:tc>
        <w:tc>
          <w:tcPr>
            <w:tcW w:w="8479" w:type="dxa"/>
            <w:vAlign w:val="center"/>
          </w:tcPr>
          <w:p w14:paraId="0A587F33">
            <w:pPr>
              <w:tabs>
                <w:tab w:val="center" w:pos="4338"/>
                <w:tab w:val="right" w:pos="8675"/>
              </w:tabs>
              <w:adjustRightInd w:val="0"/>
              <w:snapToGrid w:val="0"/>
              <w:spacing w:line="240" w:lineRule="auto"/>
              <w:ind w:firstLine="0" w:firstLineChars="0"/>
              <w:jc w:val="left"/>
              <w:rPr>
                <w:rFonts w:hint="eastAsia" w:eastAsia="宋体" w:cs="Times New Roman"/>
                <w:szCs w:val="21"/>
                <w:highlight w:val="none"/>
                <w:lang w:val="en-US" w:eastAsia="zh-CN"/>
              </w:rPr>
            </w:pPr>
            <w:r>
              <w:rPr>
                <w:rFonts w:hint="eastAsia"/>
                <w:kern w:val="0"/>
                <w:szCs w:val="21"/>
                <w:highlight w:val="none"/>
              </w:rPr>
              <w:t>第</w:t>
            </w:r>
            <w:r>
              <w:rPr>
                <w:i/>
                <w:iCs/>
                <w:kern w:val="0"/>
                <w:szCs w:val="21"/>
                <w:highlight w:val="none"/>
              </w:rPr>
              <w:t>j</w:t>
            </w:r>
            <w:r>
              <w:rPr>
                <w:rFonts w:hint="eastAsia"/>
                <w:kern w:val="0"/>
                <w:szCs w:val="21"/>
                <w:highlight w:val="none"/>
              </w:rPr>
              <w:t>种</w:t>
            </w:r>
            <w:r>
              <w:rPr>
                <w:rFonts w:hint="eastAsia"/>
                <w:kern w:val="0"/>
                <w:szCs w:val="21"/>
                <w:highlight w:val="none"/>
                <w:lang w:val="en-US" w:eastAsia="zh-CN"/>
              </w:rPr>
              <w:t>化石</w:t>
            </w:r>
            <w:r>
              <w:rPr>
                <w:rFonts w:hint="eastAsia"/>
                <w:kern w:val="0"/>
                <w:szCs w:val="21"/>
                <w:highlight w:val="none"/>
              </w:rPr>
              <w:t>燃料</w:t>
            </w:r>
            <w:r>
              <w:rPr>
                <w:rFonts w:hint="eastAsia"/>
                <w:kern w:val="0"/>
                <w:szCs w:val="21"/>
                <w:highlight w:val="none"/>
                <w:lang w:val="en-US" w:eastAsia="zh-CN"/>
              </w:rPr>
              <w:t>的</w:t>
            </w:r>
            <w:r>
              <w:rPr>
                <w:rFonts w:hint="eastAsia"/>
                <w:kern w:val="0"/>
                <w:szCs w:val="21"/>
                <w:highlight w:val="none"/>
              </w:rPr>
              <w:t>第</w:t>
            </w:r>
            <w:r>
              <w:rPr>
                <w:rFonts w:hint="eastAsia"/>
                <w:i/>
                <w:iCs/>
                <w:kern w:val="0"/>
                <w:szCs w:val="21"/>
                <w:highlight w:val="none"/>
              </w:rPr>
              <w:t>k</w:t>
            </w:r>
            <w:r>
              <w:rPr>
                <w:rFonts w:hint="eastAsia"/>
                <w:kern w:val="0"/>
                <w:szCs w:val="21"/>
                <w:highlight w:val="none"/>
              </w:rPr>
              <w:t>种燃烧方式</w:t>
            </w:r>
            <w:r>
              <w:rPr>
                <w:rFonts w:hint="eastAsia"/>
                <w:kern w:val="0"/>
                <w:szCs w:val="21"/>
                <w:highlight w:val="none"/>
                <w:lang w:val="en-US" w:eastAsia="zh-CN"/>
              </w:rPr>
              <w:t>对应</w:t>
            </w:r>
            <w:r>
              <w:rPr>
                <w:rFonts w:hint="eastAsia"/>
                <w:kern w:val="0"/>
                <w:szCs w:val="21"/>
                <w:highlight w:val="none"/>
              </w:rPr>
              <w:t>的第</w:t>
            </w:r>
            <w:r>
              <w:rPr>
                <w:rFonts w:hint="eastAsia"/>
                <w:i/>
                <w:iCs/>
                <w:kern w:val="0"/>
                <w:szCs w:val="21"/>
                <w:highlight w:val="none"/>
              </w:rPr>
              <w:t>i</w:t>
            </w:r>
            <w:r>
              <w:rPr>
                <w:rFonts w:hint="eastAsia"/>
                <w:kern w:val="0"/>
                <w:szCs w:val="21"/>
                <w:highlight w:val="none"/>
              </w:rPr>
              <w:t>种</w:t>
            </w:r>
            <w:r>
              <w:rPr>
                <w:rFonts w:hint="eastAsia"/>
                <w:kern w:val="0"/>
                <w:szCs w:val="21"/>
                <w:highlight w:val="none"/>
                <w:lang w:val="en-US" w:eastAsia="zh-CN"/>
              </w:rPr>
              <w:t>单位热值</w:t>
            </w:r>
            <w:r>
              <w:rPr>
                <w:rFonts w:hint="eastAsia"/>
                <w:kern w:val="0"/>
                <w:szCs w:val="21"/>
                <w:highlight w:val="none"/>
              </w:rPr>
              <w:t>温室气体排放因子，单位为千克每吉焦（k</w:t>
            </w:r>
            <w:r>
              <w:rPr>
                <w:kern w:val="0"/>
                <w:szCs w:val="21"/>
                <w:highlight w:val="none"/>
              </w:rPr>
              <w:t>g/GJ</w:t>
            </w:r>
            <w:r>
              <w:rPr>
                <w:rFonts w:hint="eastAsia"/>
                <w:kern w:val="0"/>
                <w:szCs w:val="21"/>
                <w:highlight w:val="none"/>
              </w:rPr>
              <w:t>）</w:t>
            </w:r>
            <w:r>
              <w:rPr>
                <w:rFonts w:hint="eastAsia"/>
                <w:kern w:val="0"/>
                <w:szCs w:val="21"/>
                <w:highlight w:val="none"/>
                <w:lang w:eastAsia="zh-CN"/>
              </w:rPr>
              <w:t>。</w:t>
            </w:r>
          </w:p>
        </w:tc>
      </w:tr>
      <w:tr w14:paraId="5FAFFF6E">
        <w:tblPrEx>
          <w:tblCellMar>
            <w:top w:w="0" w:type="dxa"/>
            <w:left w:w="108" w:type="dxa"/>
            <w:bottom w:w="0" w:type="dxa"/>
            <w:right w:w="108" w:type="dxa"/>
          </w:tblCellMar>
        </w:tblPrEx>
        <w:trPr>
          <w:trHeight w:val="397" w:hRule="atLeast"/>
          <w:jc w:val="right"/>
        </w:trPr>
        <w:tc>
          <w:tcPr>
            <w:tcW w:w="9554" w:type="dxa"/>
            <w:gridSpan w:val="3"/>
            <w:vAlign w:val="center"/>
          </w:tcPr>
          <w:p w14:paraId="112DBC70">
            <w:pPr>
              <w:pStyle w:val="14"/>
              <w:jc w:val="both"/>
              <w:rPr>
                <w:rFonts w:hint="eastAsia"/>
                <w:kern w:val="0"/>
                <w:szCs w:val="21"/>
                <w:highlight w:val="none"/>
              </w:rPr>
            </w:pPr>
            <w:r>
              <w:rPr>
                <w:rFonts w:hint="eastAsia"/>
                <w:kern w:val="0"/>
                <w:szCs w:val="20"/>
                <w:highlight w:val="none"/>
                <w:lang w:val="en-US" w:eastAsia="zh-CN"/>
              </w:rPr>
              <w:t>注：燃烧方式包括固定源燃烧和移动源燃烧。</w:t>
            </w:r>
          </w:p>
        </w:tc>
      </w:tr>
    </w:tbl>
    <w:p w14:paraId="1D387F12">
      <w:pPr>
        <w:pStyle w:val="162"/>
        <w:rPr>
          <w:rFonts w:hint="default" w:hAnsi="Cambria Math" w:cs="Times New Roman"/>
          <w:i w:val="0"/>
        </w:rPr>
      </w:pPr>
    </w:p>
    <w:p w14:paraId="1C6669CA">
      <w:pPr>
        <w:pStyle w:val="162"/>
        <w:rPr>
          <w:rFonts w:hint="default" w:ascii="Times New Roman" w:hAnsi="Times New Roman" w:cs="Times New Roman"/>
        </w:rPr>
      </w:pPr>
      <m:oMath>
        <m:sSub>
          <m:sSubPr>
            <m:ctrlPr>
              <w:rPr>
                <w:rFonts w:hint="default" w:ascii="Cambria Math" w:hAnsi="Cambria Math" w:cs="Times New Roman"/>
                <w:i/>
              </w:rPr>
            </m:ctrlPr>
          </m:sSubPr>
          <m:e>
            <m:r>
              <m:rPr/>
              <w:rPr>
                <w:rFonts w:hint="default" w:ascii="Cambria Math" w:hAnsi="Cambria Math" w:cs="Times New Roman"/>
              </w:rPr>
              <m:t>E</m:t>
            </m:r>
            <m:ctrlPr>
              <w:rPr>
                <w:rFonts w:hint="default" w:ascii="Cambria Math" w:hAnsi="Cambria Math" w:cs="Times New Roman"/>
                <w:i/>
              </w:rPr>
            </m:ctrlPr>
          </m:e>
          <m:sub>
            <m:r>
              <m:rPr>
                <m:sty m:val="p"/>
              </m:rPr>
              <w:rPr>
                <w:rFonts w:hint="default" w:ascii="Cambria Math" w:hAnsi="Cambria Math" w:cs="Times New Roman"/>
              </w:rPr>
              <m:t>燃烧2</m:t>
            </m:r>
            <m:ctrlPr>
              <w:rPr>
                <w:rFonts w:hint="default" w:ascii="Cambria Math" w:hAnsi="Cambria Math" w:cs="Times New Roman"/>
                <w:i/>
              </w:rPr>
            </m:ctrlPr>
          </m:sub>
        </m:sSub>
        <m:r>
          <m:rPr/>
          <w:rPr>
            <w:rFonts w:hint="default" w:ascii="Cambria Math" w:hAnsi="Cambria Math" w:cs="Times New Roman"/>
          </w:rPr>
          <m:t>=</m:t>
        </m:r>
        <m:nary>
          <m:naryPr>
            <m:chr m:val="∑"/>
            <m:limLoc m:val="undOvr"/>
            <m:subHide m:val="1"/>
            <m:supHide m:val="1"/>
            <m:ctrlPr>
              <w:rPr>
                <w:rFonts w:hint="default" w:ascii="Cambria Math" w:hAnsi="Cambria Math" w:cs="Times New Roman"/>
                <w:i/>
              </w:rPr>
            </m:ctrlPr>
          </m:naryPr>
          <m:sub>
            <m:ctrlPr>
              <w:rPr>
                <w:rFonts w:hint="default" w:ascii="Cambria Math" w:hAnsi="Cambria Math" w:cs="Times New Roman"/>
                <w:i/>
              </w:rPr>
            </m:ctrlPr>
          </m:sub>
          <m:sup>
            <m:ctrlPr>
              <w:rPr>
                <w:rFonts w:hint="default" w:ascii="Cambria Math" w:hAnsi="Cambria Math" w:cs="Times New Roman"/>
                <w:i/>
              </w:rPr>
            </m:ctrlPr>
          </m:sup>
          <m:e>
            <m:d>
              <m:dPr>
                <m:ctrlPr>
                  <w:rPr>
                    <w:rFonts w:hint="default" w:ascii="Cambria Math" w:hAnsi="Cambria Math" w:cs="Times New Roman"/>
                    <w:i/>
                  </w:rPr>
                </m:ctrlPr>
              </m:dPr>
              <m:e>
                <m:sSub>
                  <m:sSubPr>
                    <m:ctrlPr>
                      <w:rPr>
                        <w:rFonts w:hint="default" w:ascii="Cambria Math" w:hAnsi="Cambria Math" w:cs="Times New Roman"/>
                        <w:i/>
                      </w:rPr>
                    </m:ctrlPr>
                  </m:sSubPr>
                  <m:e>
                    <m:r>
                      <m:rPr/>
                      <w:rPr>
                        <w:rFonts w:hint="default" w:ascii="Cambria Math" w:hAnsi="Cambria Math" w:cs="Times New Roman"/>
                      </w:rPr>
                      <m:t>FC</m:t>
                    </m:r>
                    <m:ctrlPr>
                      <w:rPr>
                        <w:rFonts w:hint="default" w:ascii="Cambria Math" w:hAnsi="Cambria Math" w:cs="Times New Roman"/>
                        <w:i/>
                      </w:rPr>
                    </m:ctrlPr>
                  </m:e>
                  <m:sub>
                    <m:r>
                      <m:rPr/>
                      <w:rPr>
                        <w:rFonts w:hint="default" w:ascii="Cambria Math" w:hAnsi="Cambria Math" w:cs="Times New Roman"/>
                      </w:rPr>
                      <m:t>a</m:t>
                    </m:r>
                    <m:r>
                      <m:rPr/>
                      <w:rPr>
                        <w:rFonts w:hint="default" w:ascii="Cambria Math" w:hAnsi="Cambria Math" w:cs="Times New Roman"/>
                        <w:lang w:val="en-US" w:eastAsia="zh-CN"/>
                      </w:rPr>
                      <m:t>j</m:t>
                    </m:r>
                    <m:ctrlPr>
                      <w:rPr>
                        <w:rFonts w:hint="default" w:ascii="Cambria Math" w:hAnsi="Cambria Math" w:cs="Times New Roman"/>
                        <w:i/>
                      </w:rPr>
                    </m:ctrlPr>
                  </m:sub>
                </m:sSub>
                <m:r>
                  <m:rPr/>
                  <w:rPr>
                    <w:rFonts w:ascii="Cambria Math" w:hAnsi="Cambria Math" w:cs="Times New Roman"/>
                  </w:rPr>
                  <m:t>×</m:t>
                </m:r>
                <m:sSub>
                  <m:sSubPr>
                    <m:ctrlPr>
                      <w:rPr>
                        <w:rFonts w:ascii="Cambria Math" w:hAnsi="Cambria Math"/>
                        <w:i/>
                        <w:kern w:val="0"/>
                        <w:szCs w:val="21"/>
                        <w:highlight w:val="none"/>
                      </w:rPr>
                    </m:ctrlPr>
                  </m:sSubPr>
                  <m:e>
                    <m:r>
                      <m:rPr/>
                      <w:rPr>
                        <w:rFonts w:ascii="Cambria Math" w:hAnsi="Cambria Math"/>
                        <w:kern w:val="0"/>
                        <w:szCs w:val="21"/>
                        <w:highlight w:val="none"/>
                      </w:rPr>
                      <m:t>NCV</m:t>
                    </m:r>
                    <m:ctrlPr>
                      <w:rPr>
                        <w:rFonts w:ascii="Cambria Math" w:hAnsi="Cambria Math"/>
                        <w:i/>
                        <w:kern w:val="0"/>
                        <w:szCs w:val="21"/>
                        <w:highlight w:val="none"/>
                      </w:rPr>
                    </m:ctrlPr>
                  </m:e>
                  <m:sub>
                    <m:r>
                      <m:rPr/>
                      <w:rPr>
                        <w:rFonts w:ascii="Cambria Math" w:hAnsi="Cambria Math"/>
                        <w:kern w:val="0"/>
                        <w:szCs w:val="21"/>
                        <w:highlight w:val="none"/>
                      </w:rPr>
                      <m:t>j</m:t>
                    </m:r>
                    <m:ctrlPr>
                      <w:rPr>
                        <w:rFonts w:ascii="Cambria Math" w:hAnsi="Cambria Math"/>
                        <w:i/>
                        <w:kern w:val="0"/>
                        <w:szCs w:val="21"/>
                        <w:highlight w:val="none"/>
                      </w:rPr>
                    </m:ctrlPr>
                  </m:sub>
                </m:sSub>
                <m:r>
                  <m:rPr/>
                  <w:rPr>
                    <w:rFonts w:hint="default" w:ascii="Cambria Math" w:hAnsi="Cambria Math" w:cs="Times New Roman"/>
                  </w:rPr>
                  <m:t>×E</m:t>
                </m:r>
                <m:sSub>
                  <m:sSubPr>
                    <m:ctrlPr>
                      <w:rPr>
                        <w:rFonts w:hint="default" w:ascii="Cambria Math" w:hAnsi="Cambria Math" w:cs="Times New Roman"/>
                        <w:i/>
                      </w:rPr>
                    </m:ctrlPr>
                  </m:sSubPr>
                  <m:e>
                    <m:r>
                      <m:rPr/>
                      <w:rPr>
                        <w:rFonts w:hint="default" w:ascii="Cambria Math" w:hAnsi="Cambria Math" w:cs="Times New Roman"/>
                      </w:rPr>
                      <m:t>F</m:t>
                    </m:r>
                    <m:ctrlPr>
                      <w:rPr>
                        <w:rFonts w:hint="default" w:ascii="Cambria Math" w:hAnsi="Cambria Math" w:cs="Times New Roman"/>
                        <w:i/>
                      </w:rPr>
                    </m:ctrlPr>
                  </m:e>
                  <m:sub>
                    <m:r>
                      <m:rPr/>
                      <w:rPr>
                        <w:rFonts w:hint="default" w:ascii="Cambria Math" w:hAnsi="Cambria Math" w:cs="Times New Roman"/>
                      </w:rPr>
                      <m:t>1</m:t>
                    </m:r>
                    <m:r>
                      <m:rPr/>
                      <w:rPr>
                        <w:rFonts w:hint="default" w:ascii="Cambria Math" w:hAnsi="Cambria Math" w:cs="Times New Roman"/>
                        <w:lang w:val="en-US" w:eastAsia="zh-CN"/>
                      </w:rPr>
                      <m:t>j</m:t>
                    </m:r>
                    <m:ctrlPr>
                      <w:rPr>
                        <w:rFonts w:hint="default" w:ascii="Cambria Math" w:hAnsi="Cambria Math" w:cs="Times New Roman"/>
                        <w:i/>
                      </w:rPr>
                    </m:ctrlPr>
                  </m:sub>
                </m:sSub>
                <m:r>
                  <m:rPr/>
                  <w:rPr>
                    <w:rFonts w:ascii="Cambria Math" w:hAnsi="Cambria Math" w:cs="Times New Roman"/>
                  </w:rPr>
                  <m:t>×</m:t>
                </m:r>
                <m:sSub>
                  <m:sSubPr>
                    <m:ctrlPr>
                      <w:rPr>
                        <w:rFonts w:hint="default" w:ascii="Cambria Math" w:hAnsi="Cambria Math" w:cs="Times New Roman"/>
                        <w:i/>
                      </w:rPr>
                    </m:ctrlPr>
                  </m:sSubPr>
                  <m:e>
                    <m:r>
                      <m:rPr/>
                      <w:rPr>
                        <w:rFonts w:hint="default" w:ascii="Cambria Math" w:hAnsi="Cambria Math" w:cs="Times New Roman"/>
                      </w:rPr>
                      <m:t>α</m:t>
                    </m:r>
                    <m:ctrlPr>
                      <w:rPr>
                        <w:rFonts w:hint="default" w:ascii="Cambria Math" w:hAnsi="Cambria Math" w:cs="Times New Roman"/>
                        <w:i/>
                      </w:rPr>
                    </m:ctrlPr>
                  </m:e>
                  <m:sub>
                    <m:r>
                      <m:rPr/>
                      <w:rPr>
                        <w:rFonts w:hint="default" w:ascii="Cambria Math" w:hAnsi="Cambria Math" w:cs="Times New Roman"/>
                        <w:lang w:val="en-US" w:eastAsia="zh-CN"/>
                      </w:rPr>
                      <m:t>j</m:t>
                    </m:r>
                    <m:ctrlPr>
                      <w:rPr>
                        <w:rFonts w:hint="default" w:ascii="Cambria Math" w:hAnsi="Cambria Math" w:cs="Times New Roman"/>
                        <w:i/>
                      </w:rPr>
                    </m:ctrlPr>
                  </m:sub>
                </m:sSub>
                <m:ctrlPr>
                  <w:rPr>
                    <w:rFonts w:hint="default" w:ascii="Cambria Math" w:hAnsi="Cambria Math" w:cs="Times New Roman"/>
                    <w:i/>
                  </w:rPr>
                </m:ctrlPr>
              </m:e>
            </m:d>
            <m:ctrlPr>
              <w:rPr>
                <w:rFonts w:hint="default" w:ascii="Cambria Math" w:hAnsi="Cambria Math" w:cs="Times New Roman"/>
                <w:i/>
              </w:rPr>
            </m:ctrlPr>
          </m:e>
        </m:nary>
      </m:oMath>
      <w:r>
        <w:rPr>
          <w:rFonts w:hint="default" w:ascii="Times New Roman" w:hAnsi="Times New Roman" w:cs="Times New Roman"/>
          <w:kern w:val="0"/>
          <w:szCs w:val="21"/>
          <w:highlight w:val="none"/>
          <w:lang w:val="en-US" w:eastAsia="zh-CN"/>
        </w:rPr>
        <w:t xml:space="preserve">  </w:t>
      </w:r>
      <w:r>
        <w:rPr>
          <w:rFonts w:hint="eastAsia" w:cs="Times New Roman"/>
          <w:kern w:val="0"/>
          <w:szCs w:val="21"/>
          <w:highlight w:val="none"/>
          <w:lang w:val="en-US" w:eastAsia="zh-CN"/>
        </w:rPr>
        <w:t xml:space="preserve">         </w:t>
      </w:r>
      <w:r>
        <w:rPr>
          <w:rFonts w:ascii="Times New Roman" w:hAnsi="Times New Roman" w:cs="Times New Roman"/>
          <w:kern w:val="0"/>
          <w:szCs w:val="21"/>
          <w:highlight w:val="none"/>
        </w:rPr>
        <w:t xml:space="preserve"> </w:t>
      </w:r>
      <w:r>
        <w:rPr>
          <w:rFonts w:hint="eastAsia" w:cs="Times New Roman"/>
          <w:kern w:val="0"/>
          <w:szCs w:val="21"/>
          <w:highlight w:val="none"/>
          <w:lang w:val="en-US" w:eastAsia="zh-CN"/>
        </w:rPr>
        <w:t xml:space="preserve">         </w:t>
      </w:r>
      <w:r>
        <w:rPr>
          <w:rFonts w:ascii="Times New Roman" w:hAnsi="Times New Roman" w:cs="Times New Roman"/>
          <w:kern w:val="0"/>
          <w:szCs w:val="21"/>
          <w:highlight w:val="none"/>
        </w:rPr>
        <w:t xml:space="preserve">  </w:t>
      </w:r>
      <w:r>
        <w:rPr>
          <w:rFonts w:hint="default" w:ascii="Times New Roman" w:hAnsi="Times New Roman" w:cs="Times New Roman"/>
        </w:rPr>
        <w:t>（</w:t>
      </w:r>
      <w:r>
        <w:rPr>
          <w:rFonts w:hint="eastAsia" w:cs="Times New Roman"/>
          <w:lang w:val="en-US" w:eastAsia="zh-CN"/>
        </w:rPr>
        <w:t>7</w:t>
      </w:r>
      <w:r>
        <w:rPr>
          <w:rFonts w:hint="default" w:ascii="Times New Roman" w:hAnsi="Times New Roman" w:cs="Times New Roman"/>
        </w:rPr>
        <w:t>）</w:t>
      </w:r>
    </w:p>
    <w:p w14:paraId="2E9D98E2">
      <w:pPr>
        <w:tabs>
          <w:tab w:val="center" w:pos="4338"/>
          <w:tab w:val="right" w:pos="8675"/>
        </w:tabs>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式中：</w:t>
      </w:r>
    </w:p>
    <w:tbl>
      <w:tblPr>
        <w:tblStyle w:val="35"/>
        <w:tblW w:w="4789" w:type="pct"/>
        <w:jc w:val="right"/>
        <w:tblLayout w:type="autofit"/>
        <w:tblCellMar>
          <w:top w:w="0" w:type="dxa"/>
          <w:left w:w="108" w:type="dxa"/>
          <w:bottom w:w="0" w:type="dxa"/>
          <w:right w:w="108" w:type="dxa"/>
        </w:tblCellMar>
      </w:tblPr>
      <w:tblGrid>
        <w:gridCol w:w="672"/>
        <w:gridCol w:w="426"/>
        <w:gridCol w:w="8448"/>
      </w:tblGrid>
      <w:tr w14:paraId="0B4E73E9">
        <w:tblPrEx>
          <w:tblCellMar>
            <w:top w:w="0" w:type="dxa"/>
            <w:left w:w="108" w:type="dxa"/>
            <w:bottom w:w="0" w:type="dxa"/>
            <w:right w:w="108" w:type="dxa"/>
          </w:tblCellMar>
        </w:tblPrEx>
        <w:trPr>
          <w:jc w:val="right"/>
        </w:trPr>
        <w:tc>
          <w:tcPr>
            <w:tcW w:w="352" w:type="pct"/>
          </w:tcPr>
          <w:p w14:paraId="779C5CC9">
            <w:pPr>
              <w:adjustRightInd w:val="0"/>
              <w:snapToGrid w:val="0"/>
              <w:spacing w:line="276" w:lineRule="auto"/>
              <w:ind w:firstLine="0" w:firstLineChars="0"/>
              <w:jc w:val="left"/>
              <w:rPr>
                <w:rFonts w:hint="default" w:ascii="Times New Roman" w:hAnsi="Times New Roman" w:cs="Times New Roman"/>
                <w:i/>
                <w:szCs w:val="21"/>
              </w:rPr>
            </w:pPr>
            <m:oMathPara>
              <m:oMath>
                <m:sSub>
                  <m:sSubPr>
                    <m:ctrlPr>
                      <w:rPr>
                        <w:rFonts w:hint="default" w:ascii="Cambria Math" w:hAnsi="Cambria Math" w:cs="Times New Roman"/>
                        <w:i/>
                        <w:szCs w:val="21"/>
                      </w:rPr>
                    </m:ctrlPr>
                  </m:sSubPr>
                  <m:e>
                    <m:r>
                      <m:rPr/>
                      <w:rPr>
                        <w:rFonts w:hint="default" w:ascii="Cambria Math" w:hAnsi="Cambria Math" w:cs="Times New Roman"/>
                        <w:szCs w:val="21"/>
                      </w:rPr>
                      <m:t>FC</m:t>
                    </m:r>
                    <m:ctrlPr>
                      <w:rPr>
                        <w:rFonts w:hint="default" w:ascii="Cambria Math" w:hAnsi="Cambria Math" w:cs="Times New Roman"/>
                        <w:i/>
                        <w:szCs w:val="21"/>
                      </w:rPr>
                    </m:ctrlPr>
                  </m:e>
                  <m:sub>
                    <m:r>
                      <m:rPr/>
                      <w:rPr>
                        <w:rFonts w:hint="default" w:ascii="Cambria Math" w:hAnsi="Cambria Math" w:cs="Times New Roman"/>
                        <w:szCs w:val="21"/>
                      </w:rPr>
                      <m:t>a</m:t>
                    </m:r>
                    <m:r>
                      <m:rPr/>
                      <w:rPr>
                        <w:rFonts w:hint="default" w:ascii="Cambria Math" w:hAnsi="Cambria Math" w:cs="Times New Roman"/>
                        <w:szCs w:val="21"/>
                        <w:lang w:val="en-US" w:eastAsia="zh-CN"/>
                      </w:rPr>
                      <m:t>j</m:t>
                    </m:r>
                    <m:ctrlPr>
                      <w:rPr>
                        <w:rFonts w:hint="default" w:ascii="Cambria Math" w:hAnsi="Cambria Math" w:cs="Times New Roman"/>
                        <w:i/>
                        <w:szCs w:val="21"/>
                      </w:rPr>
                    </m:ctrlPr>
                  </m:sub>
                </m:sSub>
              </m:oMath>
            </m:oMathPara>
          </w:p>
        </w:tc>
        <w:tc>
          <w:tcPr>
            <w:tcW w:w="223" w:type="pct"/>
          </w:tcPr>
          <w:p w14:paraId="5A9FB686">
            <w:pPr>
              <w:tabs>
                <w:tab w:val="center" w:pos="4338"/>
                <w:tab w:val="right" w:pos="8675"/>
              </w:tabs>
              <w:snapToGrid w:val="0"/>
              <w:spacing w:line="276" w:lineRule="auto"/>
              <w:rPr>
                <w:rFonts w:hint="default" w:ascii="Times New Roman" w:hAnsi="Times New Roman" w:cs="Times New Roman"/>
                <w:szCs w:val="21"/>
              </w:rPr>
            </w:pPr>
            <w:r>
              <w:rPr>
                <w:rFonts w:hint="default" w:ascii="Times New Roman" w:hAnsi="Times New Roman" w:cs="Times New Roman"/>
                <w:szCs w:val="21"/>
              </w:rPr>
              <w:t>—</w:t>
            </w:r>
          </w:p>
        </w:tc>
        <w:tc>
          <w:tcPr>
            <w:tcW w:w="4423" w:type="pct"/>
          </w:tcPr>
          <w:p w14:paraId="2B192B61">
            <w:pPr>
              <w:snapToGrid w:val="0"/>
              <w:rPr>
                <w:rFonts w:hint="eastAsia" w:ascii="Times New Roman" w:hAnsi="Times New Roman" w:eastAsia="宋体" w:cs="Times New Roman"/>
                <w:szCs w:val="21"/>
                <w:lang w:eastAsia="zh-CN"/>
              </w:rPr>
            </w:pPr>
            <w:r>
              <w:rPr>
                <w:rFonts w:hint="default" w:ascii="Times New Roman" w:hAnsi="Times New Roman" w:cs="Times New Roman"/>
                <w:szCs w:val="21"/>
              </w:rPr>
              <w:t>第</w:t>
            </w:r>
            <w:r>
              <w:rPr>
                <w:rFonts w:hint="default" w:ascii="Times New Roman" w:hAnsi="Times New Roman" w:cs="Times New Roman"/>
                <w:i/>
                <w:iCs/>
                <w:szCs w:val="21"/>
                <w:lang w:val="en-US" w:eastAsia="zh-CN"/>
              </w:rPr>
              <w:t>j</w:t>
            </w:r>
            <w:r>
              <w:rPr>
                <w:rFonts w:hint="default" w:ascii="Times New Roman" w:hAnsi="Times New Roman" w:cs="Times New Roman"/>
                <w:szCs w:val="21"/>
              </w:rPr>
              <w:t>种替代燃料消耗量，单位为</w:t>
            </w:r>
            <w:r>
              <w:rPr>
                <w:rFonts w:hint="eastAsia" w:cs="Times New Roman"/>
                <w:szCs w:val="21"/>
                <w:lang w:val="en-US" w:eastAsia="zh-CN"/>
              </w:rPr>
              <w:t>吨</w:t>
            </w:r>
            <w:r>
              <w:rPr>
                <w:rFonts w:hint="default" w:ascii="Times New Roman" w:hAnsi="Times New Roman" w:cs="Times New Roman"/>
                <w:szCs w:val="21"/>
              </w:rPr>
              <w:t>（</w:t>
            </w:r>
            <w:r>
              <w:rPr>
                <w:rFonts w:hint="eastAsia" w:cs="Times New Roman"/>
                <w:szCs w:val="21"/>
                <w:lang w:val="en-US" w:eastAsia="zh-CN"/>
              </w:rPr>
              <w:t>t</w:t>
            </w:r>
            <w:r>
              <w:rPr>
                <w:rFonts w:hint="default" w:ascii="Times New Roman" w:hAnsi="Times New Roman" w:cs="Times New Roman"/>
                <w:szCs w:val="21"/>
              </w:rPr>
              <w:t>）；熟料生产过程的替代燃料指被用作热源的可燃废物。主要来源为城市固体废物、工业废物及副产物、生物质等，包括废油、废轮胎、废塑料、废溶剂、废皮革、废玻璃钢、炭黑、生活垃圾预处理可燃物、生物质燃料等</w:t>
            </w:r>
            <w:r>
              <w:rPr>
                <w:rFonts w:hint="eastAsia" w:cs="Times New Roman"/>
                <w:szCs w:val="21"/>
                <w:lang w:eastAsia="zh-CN"/>
              </w:rPr>
              <w:t>；</w:t>
            </w:r>
          </w:p>
        </w:tc>
      </w:tr>
      <w:tr w14:paraId="768066C7">
        <w:tblPrEx>
          <w:tblCellMar>
            <w:top w:w="0" w:type="dxa"/>
            <w:left w:w="108" w:type="dxa"/>
            <w:bottom w:w="0" w:type="dxa"/>
            <w:right w:w="108" w:type="dxa"/>
          </w:tblCellMar>
        </w:tblPrEx>
        <w:trPr>
          <w:jc w:val="right"/>
        </w:trPr>
        <w:tc>
          <w:tcPr>
            <w:tcW w:w="352" w:type="pct"/>
            <w:vAlign w:val="center"/>
          </w:tcPr>
          <w:p w14:paraId="5898CD07">
            <w:pPr>
              <w:tabs>
                <w:tab w:val="center" w:pos="4338"/>
                <w:tab w:val="right" w:pos="8675"/>
              </w:tabs>
              <w:adjustRightInd w:val="0"/>
              <w:snapToGrid w:val="0"/>
              <w:spacing w:line="240" w:lineRule="auto"/>
              <w:ind w:firstLine="0" w:firstLineChars="0"/>
              <w:jc w:val="right"/>
              <w:rPr>
                <w:rFonts w:hint="default" w:ascii="Cambria Math" w:hAnsi="Cambria Math" w:cs="Times New Roman"/>
                <w:i/>
                <w:szCs w:val="21"/>
                <w:oMath/>
              </w:rPr>
            </w:pPr>
            <m:oMathPara>
              <m:oMathParaPr>
                <m:jc m:val="left"/>
              </m:oMathParaPr>
              <m:oMath>
                <m:sSub>
                  <m:sSubPr>
                    <m:ctrlPr>
                      <w:rPr>
                        <w:rFonts w:hint="default" w:ascii="Cambria Math" w:hAnsi="Cambria Math" w:eastAsia="宋体" w:cs="Times New Roman"/>
                        <w:i/>
                        <w:szCs w:val="21"/>
                        <w:highlight w:val="none"/>
                        <w:lang w:val="en-US" w:eastAsia="zh-CN"/>
                      </w:rPr>
                    </m:ctrlPr>
                  </m:sSubPr>
                  <m:e>
                    <m:r>
                      <m:rPr/>
                      <w:rPr>
                        <w:rFonts w:hint="default" w:ascii="Cambria Math" w:hAnsi="Cambria Math" w:eastAsia="宋体" w:cs="Times New Roman"/>
                        <w:szCs w:val="21"/>
                        <w:highlight w:val="none"/>
                        <w:lang w:val="en-US" w:eastAsia="zh-CN"/>
                      </w:rPr>
                      <m:t>NCV</m:t>
                    </m:r>
                    <m:ctrlPr>
                      <w:rPr>
                        <w:rFonts w:hint="default" w:ascii="Cambria Math" w:hAnsi="Cambria Math" w:eastAsia="宋体" w:cs="Times New Roman"/>
                        <w:i/>
                        <w:szCs w:val="21"/>
                        <w:highlight w:val="none"/>
                        <w:lang w:val="en-US" w:eastAsia="zh-CN"/>
                      </w:rPr>
                    </m:ctrlPr>
                  </m:e>
                  <m:sub>
                    <m:r>
                      <m:rPr/>
                      <w:rPr>
                        <w:rFonts w:hint="default" w:ascii="Cambria Math" w:hAnsi="Cambria Math" w:cs="Times New Roman"/>
                        <w:szCs w:val="21"/>
                        <w:highlight w:val="none"/>
                        <w:lang w:val="en-US" w:eastAsia="zh-CN"/>
                      </w:rPr>
                      <m:t>a</m:t>
                    </m:r>
                    <m:r>
                      <m:rPr/>
                      <w:rPr>
                        <w:rFonts w:hint="default" w:ascii="Cambria Math" w:hAnsi="Cambria Math" w:eastAsia="宋体" w:cs="Times New Roman"/>
                        <w:szCs w:val="21"/>
                        <w:highlight w:val="none"/>
                        <w:lang w:val="en-US" w:eastAsia="zh-CN"/>
                      </w:rPr>
                      <m:t>j</m:t>
                    </m:r>
                    <m:ctrlPr>
                      <w:rPr>
                        <w:rFonts w:hint="default" w:ascii="Cambria Math" w:hAnsi="Cambria Math" w:eastAsia="宋体" w:cs="Times New Roman"/>
                        <w:i/>
                        <w:szCs w:val="21"/>
                        <w:highlight w:val="none"/>
                        <w:lang w:val="en-US" w:eastAsia="zh-CN"/>
                      </w:rPr>
                    </m:ctrlPr>
                  </m:sub>
                </m:sSub>
              </m:oMath>
            </m:oMathPara>
          </w:p>
        </w:tc>
        <w:tc>
          <w:tcPr>
            <w:tcW w:w="223" w:type="pct"/>
            <w:vAlign w:val="top"/>
          </w:tcPr>
          <w:p w14:paraId="0960A879">
            <w:pPr>
              <w:pStyle w:val="26"/>
              <w:spacing w:line="360" w:lineRule="auto"/>
              <w:ind w:firstLine="0" w:firstLineChars="0"/>
              <w:rPr>
                <w:rFonts w:hint="default" w:ascii="Times New Roman" w:hAnsi="Times New Roman" w:cs="Times New Roman"/>
                <w:szCs w:val="21"/>
              </w:rPr>
            </w:pPr>
            <w:r>
              <w:rPr>
                <w:rFonts w:hint="default" w:ascii="Times New Roman" w:hAnsi="Times New Roman" w:eastAsia="宋体" w:cs="Times New Roman"/>
                <w:color w:val="auto"/>
                <w:szCs w:val="21"/>
                <w:highlight w:val="none"/>
              </w:rPr>
              <w:t>—</w:t>
            </w:r>
          </w:p>
        </w:tc>
        <w:tc>
          <w:tcPr>
            <w:tcW w:w="4423" w:type="pct"/>
            <w:vAlign w:val="center"/>
          </w:tcPr>
          <w:p w14:paraId="62FD0044">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eastAsia"/>
                <w:kern w:val="0"/>
                <w:szCs w:val="21"/>
                <w:highlight w:val="none"/>
              </w:rPr>
              <w:t>第</w:t>
            </w:r>
            <w:r>
              <w:rPr>
                <w:i/>
                <w:iCs/>
                <w:kern w:val="0"/>
                <w:szCs w:val="21"/>
                <w:highlight w:val="none"/>
              </w:rPr>
              <w:t>j</w:t>
            </w:r>
            <w:r>
              <w:rPr>
                <w:rFonts w:hint="eastAsia"/>
                <w:kern w:val="0"/>
                <w:szCs w:val="21"/>
                <w:highlight w:val="none"/>
              </w:rPr>
              <w:t>种</w:t>
            </w:r>
            <w:r>
              <w:rPr>
                <w:rFonts w:hint="eastAsia"/>
                <w:kern w:val="0"/>
                <w:szCs w:val="21"/>
                <w:highlight w:val="none"/>
                <w:lang w:val="en-US" w:eastAsia="zh-CN"/>
              </w:rPr>
              <w:t>替代</w:t>
            </w:r>
            <w:r>
              <w:rPr>
                <w:rFonts w:hint="eastAsia"/>
                <w:kern w:val="0"/>
                <w:szCs w:val="21"/>
                <w:highlight w:val="none"/>
              </w:rPr>
              <w:t>燃料的平均低位发热量，单位为吉焦每</w:t>
            </w:r>
            <w:r>
              <w:rPr>
                <w:rFonts w:hint="eastAsia"/>
                <w:kern w:val="0"/>
                <w:szCs w:val="21"/>
                <w:highlight w:val="none"/>
                <w:lang w:val="en-US" w:eastAsia="zh-CN"/>
              </w:rPr>
              <w:t>吨</w:t>
            </w:r>
            <w:r>
              <w:rPr>
                <w:rFonts w:hint="eastAsia"/>
                <w:kern w:val="0"/>
                <w:szCs w:val="21"/>
                <w:highlight w:val="none"/>
              </w:rPr>
              <w:t>（G</w:t>
            </w:r>
            <w:r>
              <w:rPr>
                <w:kern w:val="0"/>
                <w:szCs w:val="21"/>
                <w:highlight w:val="none"/>
              </w:rPr>
              <w:t>J/</w:t>
            </w:r>
            <w:r>
              <w:rPr>
                <w:rFonts w:hint="eastAsia"/>
                <w:kern w:val="0"/>
                <w:szCs w:val="21"/>
                <w:highlight w:val="none"/>
                <w:lang w:val="en-US" w:eastAsia="zh-CN"/>
              </w:rPr>
              <w:t>t</w:t>
            </w:r>
            <w:r>
              <w:rPr>
                <w:rFonts w:hint="eastAsia"/>
                <w:kern w:val="0"/>
                <w:szCs w:val="21"/>
                <w:highlight w:val="none"/>
              </w:rPr>
              <w:t>）</w:t>
            </w:r>
            <w:r>
              <w:rPr>
                <w:rFonts w:hint="eastAsia"/>
                <w:kern w:val="0"/>
                <w:szCs w:val="21"/>
                <w:highlight w:val="none"/>
                <w:lang w:eastAsia="zh-CN"/>
              </w:rPr>
              <w:t>；</w:t>
            </w:r>
          </w:p>
        </w:tc>
      </w:tr>
      <w:tr w14:paraId="3603E64B">
        <w:tblPrEx>
          <w:tblCellMar>
            <w:top w:w="0" w:type="dxa"/>
            <w:left w:w="108" w:type="dxa"/>
            <w:bottom w:w="0" w:type="dxa"/>
            <w:right w:w="108" w:type="dxa"/>
          </w:tblCellMar>
        </w:tblPrEx>
        <w:trPr>
          <w:jc w:val="right"/>
        </w:trPr>
        <w:tc>
          <w:tcPr>
            <w:tcW w:w="352" w:type="pct"/>
          </w:tcPr>
          <w:p w14:paraId="0806776D">
            <w:pPr>
              <w:adjustRightInd w:val="0"/>
              <w:snapToGrid w:val="0"/>
              <w:spacing w:line="276" w:lineRule="auto"/>
              <w:ind w:firstLine="0" w:firstLineChars="0"/>
              <w:jc w:val="left"/>
              <w:rPr>
                <w:rFonts w:hint="default" w:ascii="Times New Roman" w:hAnsi="Times New Roman" w:cs="Times New Roman"/>
                <w:szCs w:val="21"/>
              </w:rPr>
            </w:pPr>
            <m:oMathPara>
              <m:oMath>
                <m:r>
                  <m:rPr/>
                  <w:rPr>
                    <w:rFonts w:hint="default" w:ascii="Cambria Math" w:hAnsi="Cambria Math" w:cs="Times New Roman"/>
                    <w:szCs w:val="21"/>
                  </w:rPr>
                  <m:t>E</m:t>
                </m:r>
                <m:sSub>
                  <m:sSubPr>
                    <m:ctrlPr>
                      <w:rPr>
                        <w:rFonts w:hint="default" w:ascii="Cambria Math" w:hAnsi="Cambria Math" w:cs="Times New Roman"/>
                        <w:i/>
                        <w:szCs w:val="21"/>
                      </w:rPr>
                    </m:ctrlPr>
                  </m:sSubPr>
                  <m:e>
                    <m:r>
                      <m:rPr/>
                      <w:rPr>
                        <w:rFonts w:hint="default" w:ascii="Cambria Math" w:hAnsi="Cambria Math" w:cs="Times New Roman"/>
                        <w:szCs w:val="21"/>
                      </w:rPr>
                      <m:t>F</m:t>
                    </m:r>
                    <m:ctrlPr>
                      <w:rPr>
                        <w:rFonts w:hint="default" w:ascii="Cambria Math" w:hAnsi="Cambria Math" w:cs="Times New Roman"/>
                        <w:i/>
                        <w:szCs w:val="21"/>
                      </w:rPr>
                    </m:ctrlPr>
                  </m:e>
                  <m:sub>
                    <m:r>
                      <m:rPr/>
                      <w:rPr>
                        <w:rFonts w:hint="default" w:ascii="Cambria Math" w:hAnsi="Cambria Math" w:cs="Times New Roman"/>
                        <w:szCs w:val="21"/>
                      </w:rPr>
                      <m:t>1</m:t>
                    </m:r>
                    <m:r>
                      <m:rPr/>
                      <w:rPr>
                        <w:rFonts w:hint="default" w:ascii="Cambria Math" w:hAnsi="Cambria Math" w:cs="Times New Roman"/>
                        <w:szCs w:val="21"/>
                        <w:lang w:val="en-US" w:eastAsia="zh-CN"/>
                      </w:rPr>
                      <m:t>j</m:t>
                    </m:r>
                    <m:ctrlPr>
                      <w:rPr>
                        <w:rFonts w:hint="default" w:ascii="Cambria Math" w:hAnsi="Cambria Math" w:cs="Times New Roman"/>
                        <w:i/>
                        <w:szCs w:val="21"/>
                      </w:rPr>
                    </m:ctrlPr>
                  </m:sub>
                </m:sSub>
              </m:oMath>
            </m:oMathPara>
          </w:p>
        </w:tc>
        <w:tc>
          <w:tcPr>
            <w:tcW w:w="223" w:type="pct"/>
          </w:tcPr>
          <w:p w14:paraId="1794FBA3">
            <w:pPr>
              <w:tabs>
                <w:tab w:val="center" w:pos="4338"/>
                <w:tab w:val="right" w:pos="8675"/>
              </w:tabs>
              <w:snapToGrid w:val="0"/>
              <w:spacing w:line="276" w:lineRule="auto"/>
              <w:rPr>
                <w:rFonts w:hint="default" w:ascii="Times New Roman" w:hAnsi="Times New Roman" w:cs="Times New Roman"/>
                <w:szCs w:val="21"/>
              </w:rPr>
            </w:pPr>
            <w:r>
              <w:rPr>
                <w:rFonts w:hint="default" w:ascii="Times New Roman" w:hAnsi="Times New Roman" w:cs="Times New Roman"/>
                <w:szCs w:val="21"/>
              </w:rPr>
              <w:t>—</w:t>
            </w:r>
          </w:p>
        </w:tc>
        <w:tc>
          <w:tcPr>
            <w:tcW w:w="4423" w:type="pct"/>
          </w:tcPr>
          <w:p w14:paraId="21C271B0">
            <w:pPr>
              <w:snapToGrid w:val="0"/>
              <w:rPr>
                <w:rFonts w:hint="default" w:ascii="Times New Roman" w:hAnsi="Times New Roman" w:cs="Times New Roman"/>
                <w:szCs w:val="21"/>
              </w:rPr>
            </w:pPr>
            <w:r>
              <w:rPr>
                <w:rFonts w:hint="default" w:ascii="Times New Roman" w:hAnsi="Times New Roman" w:cs="Times New Roman"/>
                <w:szCs w:val="21"/>
              </w:rPr>
              <w:t>第</w:t>
            </w:r>
            <w:r>
              <w:rPr>
                <w:rFonts w:hint="default" w:ascii="Times New Roman" w:hAnsi="Times New Roman" w:cs="Times New Roman"/>
                <w:i/>
                <w:iCs/>
                <w:szCs w:val="21"/>
                <w:lang w:val="en-US" w:eastAsia="zh-CN"/>
              </w:rPr>
              <w:t>j</w:t>
            </w:r>
            <w:r>
              <w:rPr>
                <w:rFonts w:hint="default" w:ascii="Times New Roman" w:hAnsi="Times New Roman" w:cs="Times New Roman"/>
                <w:szCs w:val="21"/>
              </w:rPr>
              <w:t>种替代燃料燃烧</w:t>
            </w:r>
            <w:r>
              <w:rPr>
                <w:rFonts w:hint="eastAsia" w:cs="Times New Roman"/>
                <w:szCs w:val="21"/>
                <w:lang w:val="en-US" w:eastAsia="zh-CN"/>
              </w:rPr>
              <w:t>对应</w:t>
            </w:r>
            <w:r>
              <w:rPr>
                <w:rFonts w:hint="default" w:ascii="Times New Roman" w:hAnsi="Times New Roman" w:cs="Times New Roman"/>
                <w:szCs w:val="21"/>
              </w:rPr>
              <w:t>的</w:t>
            </w:r>
            <w:r>
              <w:rPr>
                <w:rFonts w:hint="eastAsia" w:cs="Times New Roman"/>
                <w:szCs w:val="21"/>
                <w:lang w:val="en-US" w:eastAsia="zh-CN"/>
              </w:rPr>
              <w:t>单位热值温室气体</w:t>
            </w:r>
            <w:r>
              <w:rPr>
                <w:rFonts w:hint="default" w:ascii="Times New Roman" w:hAnsi="Times New Roman" w:cs="Times New Roman"/>
                <w:szCs w:val="21"/>
              </w:rPr>
              <w:t>排放因子，单位为</w:t>
            </w:r>
            <w:r>
              <w:rPr>
                <w:rFonts w:hint="eastAsia" w:cs="Times New Roman"/>
                <w:szCs w:val="21"/>
                <w:lang w:val="en-US" w:eastAsia="zh-CN"/>
              </w:rPr>
              <w:t>千克</w:t>
            </w:r>
            <w:r>
              <w:rPr>
                <w:rFonts w:hint="default" w:ascii="Times New Roman" w:hAnsi="Times New Roman" w:cs="Times New Roman"/>
                <w:szCs w:val="21"/>
              </w:rPr>
              <w:t>每吉焦（</w:t>
            </w:r>
            <w:r>
              <w:rPr>
                <w:rFonts w:hint="eastAsia" w:cs="Times New Roman"/>
                <w:szCs w:val="21"/>
                <w:lang w:val="en-US" w:eastAsia="zh-CN"/>
              </w:rPr>
              <w:t>kg</w:t>
            </w:r>
            <w:r>
              <w:rPr>
                <w:rFonts w:hint="default" w:ascii="Times New Roman" w:hAnsi="Times New Roman" w:cs="Times New Roman"/>
                <w:szCs w:val="21"/>
              </w:rPr>
              <w:t>/GJ）；</w:t>
            </w:r>
          </w:p>
        </w:tc>
      </w:tr>
      <w:tr w14:paraId="0F1410A7">
        <w:tblPrEx>
          <w:tblCellMar>
            <w:top w:w="0" w:type="dxa"/>
            <w:left w:w="108" w:type="dxa"/>
            <w:bottom w:w="0" w:type="dxa"/>
            <w:right w:w="108" w:type="dxa"/>
          </w:tblCellMar>
        </w:tblPrEx>
        <w:trPr>
          <w:jc w:val="right"/>
        </w:trPr>
        <w:tc>
          <w:tcPr>
            <w:tcW w:w="352" w:type="pct"/>
          </w:tcPr>
          <w:p w14:paraId="7B81D3C8">
            <w:pPr>
              <w:adjustRightInd w:val="0"/>
              <w:snapToGrid w:val="0"/>
              <w:spacing w:line="276" w:lineRule="auto"/>
              <w:ind w:firstLine="0" w:firstLineChars="0"/>
              <w:jc w:val="left"/>
              <w:rPr>
                <w:rFonts w:hint="default" w:ascii="Times New Roman" w:hAnsi="Times New Roman" w:cs="Times New Roman"/>
                <w:szCs w:val="21"/>
              </w:rPr>
            </w:pPr>
            <m:oMathPara>
              <m:oMath>
                <m:sSub>
                  <m:sSubPr>
                    <m:ctrlPr>
                      <w:rPr>
                        <w:rFonts w:hint="default" w:ascii="Cambria Math" w:hAnsi="Cambria Math" w:cs="Times New Roman"/>
                        <w:i/>
                        <w:szCs w:val="21"/>
                      </w:rPr>
                    </m:ctrlPr>
                  </m:sSubPr>
                  <m:e>
                    <m:r>
                      <m:rPr/>
                      <w:rPr>
                        <w:rFonts w:hint="default" w:ascii="Cambria Math" w:hAnsi="Cambria Math" w:cs="Times New Roman"/>
                        <w:szCs w:val="21"/>
                      </w:rPr>
                      <m:t>α</m:t>
                    </m:r>
                    <m:ctrlPr>
                      <w:rPr>
                        <w:rFonts w:hint="default" w:ascii="Cambria Math" w:hAnsi="Cambria Math" w:cs="Times New Roman"/>
                        <w:i/>
                        <w:szCs w:val="21"/>
                      </w:rPr>
                    </m:ctrlPr>
                  </m:e>
                  <m:sub>
                    <m:r>
                      <m:rPr/>
                      <w:rPr>
                        <w:rFonts w:hint="default" w:ascii="Cambria Math" w:hAnsi="Cambria Math" w:cs="Times New Roman"/>
                        <w:szCs w:val="21"/>
                        <w:lang w:val="en-US" w:eastAsia="zh-CN"/>
                      </w:rPr>
                      <m:t>j</m:t>
                    </m:r>
                    <m:ctrlPr>
                      <w:rPr>
                        <w:rFonts w:hint="default" w:ascii="Cambria Math" w:hAnsi="Cambria Math" w:cs="Times New Roman"/>
                        <w:i/>
                        <w:szCs w:val="21"/>
                      </w:rPr>
                    </m:ctrlPr>
                  </m:sub>
                </m:sSub>
              </m:oMath>
            </m:oMathPara>
          </w:p>
        </w:tc>
        <w:tc>
          <w:tcPr>
            <w:tcW w:w="223" w:type="pct"/>
          </w:tcPr>
          <w:p w14:paraId="23685FCA">
            <w:pPr>
              <w:tabs>
                <w:tab w:val="center" w:pos="4338"/>
                <w:tab w:val="right" w:pos="8675"/>
              </w:tabs>
              <w:snapToGrid w:val="0"/>
              <w:spacing w:line="276" w:lineRule="auto"/>
              <w:rPr>
                <w:rFonts w:hint="default" w:ascii="Times New Roman" w:hAnsi="Times New Roman" w:cs="Times New Roman"/>
                <w:szCs w:val="21"/>
              </w:rPr>
            </w:pPr>
            <w:r>
              <w:rPr>
                <w:rFonts w:hint="default" w:ascii="Times New Roman" w:hAnsi="Times New Roman" w:cs="Times New Roman"/>
                <w:szCs w:val="21"/>
              </w:rPr>
              <w:t>—</w:t>
            </w:r>
          </w:p>
        </w:tc>
        <w:tc>
          <w:tcPr>
            <w:tcW w:w="4423" w:type="pct"/>
          </w:tcPr>
          <w:p w14:paraId="65666F4C">
            <w:pPr>
              <w:snapToGrid w:val="0"/>
              <w:rPr>
                <w:rFonts w:hint="default" w:ascii="Times New Roman" w:hAnsi="Times New Roman" w:cs="Times New Roman"/>
                <w:szCs w:val="21"/>
              </w:rPr>
            </w:pPr>
            <w:bookmarkStart w:id="36" w:name="_Hlk144214145"/>
            <w:r>
              <w:rPr>
                <w:rFonts w:hint="default" w:ascii="Times New Roman" w:hAnsi="Times New Roman" w:cs="Times New Roman"/>
                <w:szCs w:val="21"/>
              </w:rPr>
              <w:t>第</w:t>
            </w:r>
            <w:r>
              <w:rPr>
                <w:rFonts w:hint="default" w:ascii="Times New Roman" w:hAnsi="Times New Roman" w:cs="Times New Roman"/>
                <w:i/>
                <w:iCs/>
                <w:szCs w:val="21"/>
                <w:lang w:val="en-US" w:eastAsia="zh-CN"/>
              </w:rPr>
              <w:t>j</w:t>
            </w:r>
            <w:r>
              <w:rPr>
                <w:rFonts w:hint="default" w:ascii="Times New Roman" w:hAnsi="Times New Roman" w:cs="Times New Roman"/>
                <w:szCs w:val="21"/>
              </w:rPr>
              <w:t>种</w:t>
            </w:r>
            <w:bookmarkStart w:id="37" w:name="OLE_LINK5"/>
            <w:r>
              <w:rPr>
                <w:rFonts w:hint="default" w:ascii="Times New Roman" w:hAnsi="Times New Roman" w:cs="Times New Roman"/>
                <w:szCs w:val="21"/>
              </w:rPr>
              <w:t>替代燃料中非生物质碳的含量</w:t>
            </w:r>
            <w:bookmarkEnd w:id="37"/>
            <w:r>
              <w:rPr>
                <w:rFonts w:hint="default" w:ascii="Times New Roman" w:hAnsi="Times New Roman" w:cs="Times New Roman"/>
                <w:szCs w:val="21"/>
              </w:rPr>
              <w:t>（%）。</w:t>
            </w:r>
            <w:bookmarkEnd w:id="36"/>
          </w:p>
        </w:tc>
      </w:tr>
    </w:tbl>
    <w:p w14:paraId="02A0DCF1">
      <w:pPr>
        <w:pStyle w:val="162"/>
        <w:rPr>
          <w:rFonts w:hint="default" w:ascii="Times New Roman" w:hAnsi="Times New Roman" w:cs="Times New Roman"/>
        </w:rPr>
      </w:pPr>
      <m:oMath>
        <m:sSub>
          <m:sSubPr>
            <m:ctrlPr>
              <w:rPr>
                <w:rFonts w:hint="default" w:ascii="Cambria Math" w:hAnsi="Cambria Math" w:cs="Times New Roman"/>
                <w:i/>
                <w:iCs w:val="0"/>
              </w:rPr>
            </m:ctrlPr>
          </m:sSubPr>
          <m:e>
            <m:r>
              <m:rPr/>
              <w:rPr>
                <w:rFonts w:hint="default" w:ascii="Cambria Math" w:hAnsi="Cambria Math" w:cs="Times New Roman"/>
              </w:rPr>
              <m:t>E</m:t>
            </m:r>
            <m:ctrlPr>
              <w:rPr>
                <w:rFonts w:hint="default" w:ascii="Cambria Math" w:hAnsi="Cambria Math" w:cs="Times New Roman"/>
                <w:i/>
                <w:iCs w:val="0"/>
              </w:rPr>
            </m:ctrlPr>
          </m:e>
          <m:sub>
            <m:r>
              <m:rPr>
                <m:sty m:val="p"/>
              </m:rPr>
              <w:rPr>
                <w:rFonts w:hint="default" w:ascii="Cambria Math" w:hAnsi="Cambria Math" w:cs="Times New Roman"/>
              </w:rPr>
              <m:t>过程</m:t>
            </m:r>
            <m:r>
              <m:rPr/>
              <w:rPr>
                <w:rFonts w:hint="default" w:ascii="Cambria Math" w:hAnsi="Cambria Math" w:cs="Times New Roman"/>
                <w:lang w:val="en-US" w:eastAsia="zh-CN"/>
              </w:rPr>
              <m:t>1</m:t>
            </m:r>
            <m:ctrlPr>
              <w:rPr>
                <w:rFonts w:hint="default" w:ascii="Cambria Math" w:hAnsi="Cambria Math" w:cs="Times New Roman"/>
                <w:i/>
                <w:iCs w:val="0"/>
              </w:rPr>
            </m:ctrlPr>
          </m:sub>
        </m:sSub>
        <m:r>
          <m:rPr/>
          <w:rPr>
            <w:rFonts w:hint="default" w:ascii="Cambria Math" w:hAnsi="Cambria Math" w:cs="Times New Roman"/>
          </w:rPr>
          <m:t>=</m:t>
        </m:r>
        <m:sSub>
          <m:sSubPr>
            <m:ctrlPr>
              <w:rPr>
                <w:rFonts w:hint="default" w:ascii="Cambria Math" w:hAnsi="Cambria Math" w:cs="Times New Roman"/>
                <w:i/>
                <w:iCs w:val="0"/>
              </w:rPr>
            </m:ctrlPr>
          </m:sSubPr>
          <m:e>
            <m:r>
              <m:rPr/>
              <w:rPr>
                <w:rFonts w:hint="default" w:ascii="Cambria Math" w:hAnsi="Cambria Math" w:cs="Times New Roman"/>
              </w:rPr>
              <m:t>Q</m:t>
            </m:r>
            <m:ctrlPr>
              <w:rPr>
                <w:rFonts w:hint="default" w:ascii="Cambria Math" w:hAnsi="Cambria Math" w:cs="Times New Roman"/>
                <w:i/>
                <w:iCs w:val="0"/>
              </w:rPr>
            </m:ctrlPr>
          </m:e>
          <m:sub>
            <m:r>
              <m:rPr/>
              <w:rPr>
                <w:rFonts w:hint="default" w:ascii="Cambria Math" w:hAnsi="Cambria Math" w:cs="Times New Roman"/>
              </w:rPr>
              <m:t>ck</m:t>
            </m:r>
            <m:ctrlPr>
              <w:rPr>
                <w:rFonts w:hint="default" w:ascii="Cambria Math" w:hAnsi="Cambria Math" w:cs="Times New Roman"/>
                <w:i/>
                <w:iCs w:val="0"/>
              </w:rPr>
            </m:ctrlPr>
          </m:sub>
        </m:sSub>
        <m:r>
          <m:rPr/>
          <w:rPr>
            <w:rFonts w:hint="default" w:ascii="Cambria Math" w:hAnsi="Cambria Math" w:cs="Times New Roman"/>
          </w:rPr>
          <m:t>×</m:t>
        </m:r>
        <m:sSub>
          <m:sSubPr>
            <m:ctrlPr>
              <w:rPr>
                <w:rFonts w:hint="default" w:ascii="Cambria Math" w:hAnsi="Cambria Math" w:cs="Times New Roman"/>
                <w:i/>
                <w:iCs w:val="0"/>
              </w:rPr>
            </m:ctrlPr>
          </m:sSubPr>
          <m:e>
            <m:r>
              <m:rPr/>
              <w:rPr>
                <w:rFonts w:hint="default" w:ascii="Cambria Math" w:hAnsi="Cambria Math" w:cs="Times New Roman"/>
              </w:rPr>
              <m:t>EF</m:t>
            </m:r>
            <m:ctrlPr>
              <w:rPr>
                <w:rFonts w:hint="default" w:ascii="Cambria Math" w:hAnsi="Cambria Math" w:cs="Times New Roman"/>
                <w:i/>
                <w:iCs w:val="0"/>
              </w:rPr>
            </m:ctrlPr>
          </m:e>
          <m:sub>
            <m:r>
              <m:rPr/>
              <w:rPr>
                <w:rFonts w:hint="default" w:ascii="Cambria Math" w:hAnsi="Cambria Math" w:cs="Times New Roman"/>
              </w:rPr>
              <m:t>ck</m:t>
            </m:r>
            <m:ctrlPr>
              <w:rPr>
                <w:rFonts w:hint="default" w:ascii="Cambria Math" w:hAnsi="Cambria Math" w:cs="Times New Roman"/>
                <w:i/>
                <w:iCs w:val="0"/>
              </w:rPr>
            </m:ctrlPr>
          </m:sub>
        </m:sSub>
        <m:r>
          <m:rPr/>
          <w:rPr>
            <w:rFonts w:hint="default" w:ascii="Cambria Math" w:hAnsi="Cambria Math" w:cs="Times New Roman"/>
          </w:rPr>
          <m:t>−</m:t>
        </m:r>
        <m:nary>
          <m:naryPr>
            <m:chr m:val="∑"/>
            <m:limLoc m:val="undOvr"/>
            <m:ctrlPr>
              <w:rPr>
                <w:rFonts w:hint="default" w:ascii="Cambria Math" w:hAnsi="Cambria Math" w:cs="Times New Roman"/>
                <w:i/>
                <w:iCs w:val="0"/>
              </w:rPr>
            </m:ctrlPr>
          </m:naryPr>
          <m:sub>
            <m:r>
              <m:rPr/>
              <w:rPr>
                <w:rFonts w:hint="default" w:ascii="Cambria Math" w:hAnsi="Cambria Math" w:cs="Times New Roman"/>
                <w:lang w:val="en-US" w:eastAsia="zh-CN"/>
              </w:rPr>
              <m:t>j</m:t>
            </m:r>
            <m:r>
              <m:rPr/>
              <w:rPr>
                <w:rFonts w:hint="default" w:ascii="Cambria Math" w:hAnsi="Cambria Math" w:cs="Times New Roman"/>
              </w:rPr>
              <m:t>=1</m:t>
            </m:r>
            <m:ctrlPr>
              <w:rPr>
                <w:rFonts w:hint="default" w:ascii="Cambria Math" w:hAnsi="Cambria Math" w:cs="Times New Roman"/>
                <w:i/>
                <w:iCs w:val="0"/>
              </w:rPr>
            </m:ctrlPr>
          </m:sub>
          <m:sup>
            <m:r>
              <m:rPr/>
              <w:rPr>
                <w:rFonts w:hint="default" w:ascii="Cambria Math" w:hAnsi="Cambria Math" w:cs="Times New Roman"/>
              </w:rPr>
              <m:t>n</m:t>
            </m:r>
            <m:ctrlPr>
              <w:rPr>
                <w:rFonts w:hint="default" w:ascii="Cambria Math" w:hAnsi="Cambria Math" w:cs="Times New Roman"/>
                <w:i/>
                <w:iCs w:val="0"/>
              </w:rPr>
            </m:ctrlPr>
          </m:sup>
          <m:e>
            <m:d>
              <m:dPr>
                <m:ctrlPr>
                  <w:rPr>
                    <w:rFonts w:hint="default" w:ascii="Cambria Math" w:hAnsi="Cambria Math" w:cs="Times New Roman"/>
                    <w:i/>
                    <w:iCs w:val="0"/>
                  </w:rPr>
                </m:ctrlPr>
              </m:dPr>
              <m:e>
                <m:sSub>
                  <m:sSubPr>
                    <m:ctrlPr>
                      <w:rPr>
                        <w:rFonts w:hint="default" w:ascii="Cambria Math" w:hAnsi="Cambria Math" w:cs="Times New Roman"/>
                        <w:i/>
                        <w:iCs w:val="0"/>
                      </w:rPr>
                    </m:ctrlPr>
                  </m:sSubPr>
                  <m:e>
                    <m:r>
                      <m:rPr/>
                      <w:rPr>
                        <w:rFonts w:hint="default" w:ascii="Cambria Math" w:hAnsi="Cambria Math" w:cs="Times New Roman"/>
                      </w:rPr>
                      <m:t>Q</m:t>
                    </m:r>
                    <m:ctrlPr>
                      <w:rPr>
                        <w:rFonts w:hint="default" w:ascii="Cambria Math" w:hAnsi="Cambria Math" w:cs="Times New Roman"/>
                        <w:i/>
                        <w:iCs w:val="0"/>
                      </w:rPr>
                    </m:ctrlPr>
                  </m:e>
                  <m:sub>
                    <m:r>
                      <m:rPr/>
                      <w:rPr>
                        <w:rFonts w:hint="default" w:ascii="Cambria Math" w:hAnsi="Cambria Math" w:cs="Times New Roman"/>
                      </w:rPr>
                      <m:t>a,j</m:t>
                    </m:r>
                    <m:ctrlPr>
                      <w:rPr>
                        <w:rFonts w:hint="default" w:ascii="Cambria Math" w:hAnsi="Cambria Math" w:cs="Times New Roman"/>
                        <w:i/>
                        <w:iCs w:val="0"/>
                      </w:rPr>
                    </m:ctrlPr>
                  </m:sub>
                </m:sSub>
                <m:r>
                  <m:rPr/>
                  <w:rPr>
                    <w:rFonts w:hint="default" w:ascii="Cambria Math" w:hAnsi="Cambria Math" w:cs="Times New Roman"/>
                  </w:rPr>
                  <m:t>×</m:t>
                </m:r>
                <m:sSub>
                  <m:sSubPr>
                    <m:ctrlPr>
                      <w:rPr>
                        <w:rFonts w:hint="default" w:ascii="Cambria Math" w:hAnsi="Cambria Math" w:cs="Times New Roman"/>
                        <w:i/>
                        <w:iCs w:val="0"/>
                      </w:rPr>
                    </m:ctrlPr>
                  </m:sSubPr>
                  <m:e>
                    <m:r>
                      <m:rPr/>
                      <w:rPr>
                        <w:rFonts w:hint="default" w:ascii="Cambria Math" w:hAnsi="Cambria Math" w:cs="Times New Roman"/>
                      </w:rPr>
                      <m:t>EF</m:t>
                    </m:r>
                    <m:ctrlPr>
                      <w:rPr>
                        <w:rFonts w:hint="default" w:ascii="Cambria Math" w:hAnsi="Cambria Math" w:cs="Times New Roman"/>
                        <w:i/>
                        <w:iCs w:val="0"/>
                      </w:rPr>
                    </m:ctrlPr>
                  </m:e>
                  <m:sub>
                    <m:r>
                      <m:rPr/>
                      <w:rPr>
                        <w:rFonts w:hint="default" w:ascii="Cambria Math" w:hAnsi="Cambria Math" w:cs="Times New Roman"/>
                      </w:rPr>
                      <m:t>a,</m:t>
                    </m:r>
                    <m:r>
                      <m:rPr/>
                      <w:rPr>
                        <w:rFonts w:hint="default" w:ascii="Cambria Math" w:hAnsi="Cambria Math" w:cs="Times New Roman"/>
                        <w:lang w:val="en-US" w:eastAsia="zh-CN"/>
                      </w:rPr>
                      <m:t>j</m:t>
                    </m:r>
                    <m:ctrlPr>
                      <w:rPr>
                        <w:rFonts w:hint="default" w:ascii="Cambria Math" w:hAnsi="Cambria Math" w:cs="Times New Roman"/>
                        <w:i/>
                        <w:iCs w:val="0"/>
                      </w:rPr>
                    </m:ctrlPr>
                  </m:sub>
                </m:sSub>
                <m:ctrlPr>
                  <w:rPr>
                    <w:rFonts w:hint="default" w:ascii="Cambria Math" w:hAnsi="Cambria Math" w:cs="Times New Roman"/>
                    <w:i/>
                    <w:iCs w:val="0"/>
                  </w:rPr>
                </m:ctrlPr>
              </m:e>
            </m:d>
            <m:ctrlPr>
              <w:rPr>
                <w:rFonts w:hint="default" w:ascii="Cambria Math" w:hAnsi="Cambria Math" w:cs="Times New Roman"/>
                <w:i/>
                <w:iCs w:val="0"/>
              </w:rPr>
            </m:ctrlPr>
          </m:e>
        </m:nary>
      </m:oMath>
      <w:r>
        <w:rPr>
          <w:rFonts w:hint="eastAsia" w:cs="Times New Roman"/>
          <w:kern w:val="0"/>
          <w:szCs w:val="21"/>
          <w:highlight w:val="none"/>
          <w:lang w:val="en-US" w:eastAsia="zh-CN"/>
        </w:rPr>
        <w:t xml:space="preserve">   </w:t>
      </w:r>
      <w:r>
        <w:rPr>
          <w:rFonts w:ascii="Times New Roman" w:hAnsi="Times New Roman" w:cs="Times New Roman"/>
          <w:kern w:val="0"/>
          <w:szCs w:val="21"/>
          <w:highlight w:val="none"/>
        </w:rPr>
        <w:t xml:space="preserve"> </w:t>
      </w:r>
      <w:r>
        <w:rPr>
          <w:rFonts w:hint="eastAsia" w:cs="Times New Roman"/>
          <w:kern w:val="0"/>
          <w:szCs w:val="21"/>
          <w:highlight w:val="none"/>
          <w:lang w:val="en-US" w:eastAsia="zh-CN"/>
        </w:rPr>
        <w:t xml:space="preserve">                   </w:t>
      </w:r>
      <w:r>
        <w:rPr>
          <w:rFonts w:hint="default" w:ascii="Times New Roman" w:hAnsi="Times New Roman" w:cs="Times New Roman"/>
        </w:rPr>
        <w:t>（</w:t>
      </w:r>
      <w:r>
        <w:rPr>
          <w:rFonts w:hint="eastAsia" w:cs="Times New Roman"/>
          <w:lang w:val="en-US" w:eastAsia="zh-CN"/>
        </w:rPr>
        <w:t>8</w:t>
      </w:r>
      <w:r>
        <w:rPr>
          <w:rFonts w:hint="default" w:ascii="Times New Roman" w:hAnsi="Times New Roman" w:cs="Times New Roman"/>
        </w:rPr>
        <w:t>）</w:t>
      </w:r>
    </w:p>
    <w:p w14:paraId="01E68893">
      <w:pPr>
        <w:pStyle w:val="26"/>
        <w:spacing w:line="360" w:lineRule="exact"/>
        <w:rPr>
          <w:rFonts w:hint="default" w:ascii="Times New Roman" w:hAnsi="Times New Roman" w:cs="Times New Roman"/>
        </w:rPr>
      </w:pPr>
      <w:r>
        <w:rPr>
          <w:rFonts w:hint="default" w:ascii="Times New Roman" w:hAnsi="Times New Roman" w:cs="Times New Roman"/>
        </w:rPr>
        <w:t>式中：</w:t>
      </w:r>
    </w:p>
    <w:tbl>
      <w:tblPr>
        <w:tblStyle w:val="35"/>
        <w:tblW w:w="4790" w:type="pct"/>
        <w:jc w:val="right"/>
        <w:tblLayout w:type="autofit"/>
        <w:tblCellMar>
          <w:top w:w="0" w:type="dxa"/>
          <w:left w:w="108" w:type="dxa"/>
          <w:bottom w:w="0" w:type="dxa"/>
          <w:right w:w="108" w:type="dxa"/>
        </w:tblCellMar>
      </w:tblPr>
      <w:tblGrid>
        <w:gridCol w:w="619"/>
        <w:gridCol w:w="426"/>
        <w:gridCol w:w="8503"/>
      </w:tblGrid>
      <w:tr w14:paraId="54AAE77B">
        <w:tblPrEx>
          <w:tblCellMar>
            <w:top w:w="0" w:type="dxa"/>
            <w:left w:w="108" w:type="dxa"/>
            <w:bottom w:w="0" w:type="dxa"/>
            <w:right w:w="108" w:type="dxa"/>
          </w:tblCellMar>
        </w:tblPrEx>
        <w:trPr>
          <w:trHeight w:val="397" w:hRule="atLeast"/>
          <w:jc w:val="right"/>
        </w:trPr>
        <w:tc>
          <w:tcPr>
            <w:tcW w:w="324" w:type="pct"/>
            <w:vAlign w:val="center"/>
          </w:tcPr>
          <w:p w14:paraId="7F8A40D9">
            <w:pPr>
              <w:tabs>
                <w:tab w:val="center" w:pos="4338"/>
                <w:tab w:val="right" w:pos="8675"/>
              </w:tabs>
              <w:adjustRightInd w:val="0"/>
              <w:snapToGrid w:val="0"/>
              <w:spacing w:line="240" w:lineRule="auto"/>
              <w:ind w:firstLine="0" w:firstLineChars="0"/>
              <w:jc w:val="right"/>
              <w:rPr>
                <w:rFonts w:hint="default" w:ascii="Times New Roman" w:hAnsi="Times New Roman" w:cs="Times New Roman"/>
                <w:iCs/>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Q</m:t>
                    </m:r>
                    <m:ctrlPr>
                      <w:rPr>
                        <w:rFonts w:hint="default" w:ascii="Cambria Math" w:hAnsi="Cambria Math" w:cs="Times New Roman"/>
                        <w:i/>
                        <w:szCs w:val="21"/>
                      </w:rPr>
                    </m:ctrlPr>
                  </m:e>
                  <m:sub>
                    <m:r>
                      <m:rPr/>
                      <w:rPr>
                        <w:rFonts w:hint="default" w:ascii="Cambria Math" w:hAnsi="Cambria Math" w:cs="Times New Roman"/>
                        <w:szCs w:val="21"/>
                      </w:rPr>
                      <m:t>ck</m:t>
                    </m:r>
                    <m:ctrlPr>
                      <w:rPr>
                        <w:rFonts w:hint="default" w:ascii="Cambria Math" w:hAnsi="Cambria Math" w:cs="Times New Roman"/>
                        <w:i/>
                        <w:szCs w:val="21"/>
                      </w:rPr>
                    </m:ctrlPr>
                  </m:sub>
                </m:sSub>
              </m:oMath>
            </m:oMathPara>
          </w:p>
        </w:tc>
        <w:tc>
          <w:tcPr>
            <w:tcW w:w="223" w:type="pct"/>
            <w:vAlign w:val="center"/>
          </w:tcPr>
          <w:p w14:paraId="3B6F1664">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452" w:type="pct"/>
            <w:vAlign w:val="center"/>
          </w:tcPr>
          <w:p w14:paraId="21E050B0">
            <w:pPr>
              <w:tabs>
                <w:tab w:val="center" w:pos="4338"/>
                <w:tab w:val="right" w:pos="8675"/>
              </w:tabs>
              <w:adjustRightInd w:val="0"/>
              <w:snapToGrid w:val="0"/>
              <w:spacing w:line="240" w:lineRule="auto"/>
              <w:ind w:firstLine="0" w:firstLineChars="0"/>
              <w:jc w:val="left"/>
              <w:rPr>
                <w:rFonts w:hint="default" w:ascii="Times New Roman" w:hAnsi="Times New Roman" w:cs="Times New Roman"/>
              </w:rPr>
            </w:pPr>
            <w:r>
              <w:rPr>
                <w:rFonts w:hint="default" w:ascii="Times New Roman" w:hAnsi="Times New Roman" w:cs="Times New Roman"/>
                <w:lang w:val="en-US" w:eastAsia="zh-CN"/>
              </w:rPr>
              <w:t>熟料</w:t>
            </w:r>
            <w:r>
              <w:rPr>
                <w:rFonts w:hint="default" w:ascii="Times New Roman" w:hAnsi="Times New Roman" w:cs="Times New Roman"/>
              </w:rPr>
              <w:t>产量，单位为</w:t>
            </w:r>
            <w:r>
              <w:rPr>
                <w:rFonts w:hint="eastAsia" w:cs="Times New Roman"/>
                <w:lang w:val="en-US" w:eastAsia="zh-CN"/>
              </w:rPr>
              <w:t>吨</w:t>
            </w:r>
            <w:r>
              <w:rPr>
                <w:rFonts w:hint="default" w:ascii="Times New Roman" w:hAnsi="Times New Roman" w:cs="Times New Roman"/>
              </w:rPr>
              <w:t>（</w:t>
            </w:r>
            <w:r>
              <w:rPr>
                <w:rFonts w:hint="eastAsia" w:cs="Times New Roman"/>
                <w:lang w:val="en-US" w:eastAsia="zh-CN"/>
              </w:rPr>
              <w:t>t</w:t>
            </w:r>
            <w:r>
              <w:rPr>
                <w:rFonts w:hint="default" w:ascii="Times New Roman" w:hAnsi="Times New Roman" w:cs="Times New Roman"/>
              </w:rPr>
              <w:t>）；</w:t>
            </w:r>
          </w:p>
        </w:tc>
      </w:tr>
      <w:tr w14:paraId="1A6E1D49">
        <w:tblPrEx>
          <w:tblCellMar>
            <w:top w:w="0" w:type="dxa"/>
            <w:left w:w="108" w:type="dxa"/>
            <w:bottom w:w="0" w:type="dxa"/>
            <w:right w:w="108" w:type="dxa"/>
          </w:tblCellMar>
        </w:tblPrEx>
        <w:trPr>
          <w:trHeight w:val="397" w:hRule="atLeast"/>
          <w:jc w:val="right"/>
        </w:trPr>
        <w:tc>
          <w:tcPr>
            <w:tcW w:w="324" w:type="pct"/>
            <w:vAlign w:val="center"/>
          </w:tcPr>
          <w:p w14:paraId="7B7D33EF">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EF</m:t>
                    </m:r>
                    <m:ctrlPr>
                      <w:rPr>
                        <w:rFonts w:hint="default" w:ascii="Cambria Math" w:hAnsi="Cambria Math" w:cs="Times New Roman"/>
                        <w:i/>
                        <w:szCs w:val="21"/>
                      </w:rPr>
                    </m:ctrlPr>
                  </m:e>
                  <m:sub>
                    <m:r>
                      <m:rPr/>
                      <w:rPr>
                        <w:rFonts w:hint="default" w:ascii="Cambria Math" w:hAnsi="Cambria Math" w:cs="Times New Roman"/>
                        <w:szCs w:val="21"/>
                      </w:rPr>
                      <m:t>ck</m:t>
                    </m:r>
                    <m:ctrlPr>
                      <w:rPr>
                        <w:rFonts w:hint="default" w:ascii="Cambria Math" w:hAnsi="Cambria Math" w:cs="Times New Roman"/>
                        <w:i/>
                        <w:szCs w:val="21"/>
                      </w:rPr>
                    </m:ctrlPr>
                  </m:sub>
                </m:sSub>
              </m:oMath>
            </m:oMathPara>
          </w:p>
        </w:tc>
        <w:tc>
          <w:tcPr>
            <w:tcW w:w="223" w:type="pct"/>
            <w:vAlign w:val="center"/>
          </w:tcPr>
          <w:p w14:paraId="05F18777">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452" w:type="pct"/>
            <w:vAlign w:val="center"/>
          </w:tcPr>
          <w:p w14:paraId="59780C9D">
            <w:pPr>
              <w:tabs>
                <w:tab w:val="center" w:pos="4338"/>
                <w:tab w:val="right" w:pos="8675"/>
              </w:tabs>
              <w:adjustRightInd w:val="0"/>
              <w:snapToGrid w:val="0"/>
              <w:spacing w:line="240" w:lineRule="auto"/>
              <w:ind w:firstLine="0" w:firstLineChars="0"/>
              <w:jc w:val="left"/>
              <w:rPr>
                <w:rFonts w:hint="default" w:ascii="Times New Roman" w:hAnsi="Times New Roman" w:eastAsia="宋体" w:cs="Times New Roman"/>
                <w:lang w:val="en-US" w:eastAsia="zh-CN"/>
              </w:rPr>
            </w:pPr>
            <w:r>
              <w:rPr>
                <w:rFonts w:hint="default" w:ascii="Times New Roman" w:hAnsi="Times New Roman" w:cs="Times New Roman"/>
                <w:lang w:val="en-US" w:eastAsia="zh-CN"/>
              </w:rPr>
              <w:t>熟料</w:t>
            </w:r>
            <w:r>
              <w:rPr>
                <w:rFonts w:hint="default" w:ascii="Times New Roman" w:hAnsi="Times New Roman" w:cs="Times New Roman"/>
              </w:rPr>
              <w:t>过程</w:t>
            </w:r>
            <w:r>
              <w:rPr>
                <w:rFonts w:hint="eastAsia" w:cs="Times New Roman"/>
                <w:lang w:val="en-US" w:eastAsia="zh-CN"/>
              </w:rPr>
              <w:t>二氧化碳</w:t>
            </w:r>
            <w:r>
              <w:rPr>
                <w:rFonts w:hint="default" w:ascii="Times New Roman" w:hAnsi="Times New Roman" w:cs="Times New Roman"/>
              </w:rPr>
              <w:t>排放因子，按式（</w:t>
            </w:r>
            <w:r>
              <w:rPr>
                <w:rFonts w:hint="default" w:ascii="Times New Roman" w:hAnsi="Times New Roman" w:cs="Times New Roman"/>
                <w:lang w:val="en-US" w:eastAsia="zh-CN"/>
              </w:rPr>
              <w:t>9</w:t>
            </w:r>
            <w:r>
              <w:rPr>
                <w:rFonts w:hint="default" w:ascii="Times New Roman" w:hAnsi="Times New Roman" w:cs="Times New Roman"/>
              </w:rPr>
              <w:t>）计算</w:t>
            </w:r>
            <w:r>
              <w:rPr>
                <w:rFonts w:hint="default" w:ascii="Times New Roman" w:hAnsi="Times New Roman" w:cs="Times New Roman"/>
                <w:lang w:eastAsia="zh-CN"/>
              </w:rPr>
              <w:t>，</w:t>
            </w:r>
            <w:r>
              <w:rPr>
                <w:rFonts w:hint="default" w:ascii="Times New Roman" w:hAnsi="Times New Roman" w:cs="Times New Roman"/>
              </w:rPr>
              <w:t>单位为</w:t>
            </w:r>
            <w:r>
              <w:rPr>
                <w:rFonts w:hint="default" w:ascii="Times New Roman" w:hAnsi="Times New Roman" w:cs="Times New Roman"/>
                <w:lang w:val="en-US" w:eastAsia="zh-CN"/>
              </w:rPr>
              <w:t>千克</w:t>
            </w:r>
            <w:r>
              <w:rPr>
                <w:rFonts w:hint="default" w:ascii="Times New Roman" w:hAnsi="Times New Roman" w:cs="Times New Roman"/>
              </w:rPr>
              <w:t>二氧化碳每</w:t>
            </w:r>
            <w:r>
              <w:rPr>
                <w:rFonts w:hint="eastAsia" w:cs="Times New Roman"/>
                <w:lang w:val="en-US" w:eastAsia="zh-CN"/>
              </w:rPr>
              <w:t>吨</w:t>
            </w:r>
            <w:r>
              <w:rPr>
                <w:rFonts w:hint="default" w:ascii="Times New Roman" w:hAnsi="Times New Roman" w:cs="Times New Roman"/>
              </w:rPr>
              <w:t>（</w:t>
            </w:r>
            <w:r>
              <w:rPr>
                <w:rFonts w:hint="default" w:ascii="Times New Roman" w:hAnsi="Times New Roman" w:cs="Times New Roman"/>
                <w:lang w:val="en-US" w:eastAsia="zh-CN"/>
              </w:rPr>
              <w:t>kg</w:t>
            </w:r>
            <w:r>
              <w:rPr>
                <w:rFonts w:hint="default" w:ascii="Times New Roman" w:hAnsi="Times New Roman" w:cs="Times New Roman"/>
                <w:szCs w:val="21"/>
              </w:rPr>
              <w:t>CO</w:t>
            </w:r>
            <w:r>
              <w:rPr>
                <w:rFonts w:hint="default" w:ascii="Times New Roman" w:hAnsi="Times New Roman" w:cs="Times New Roman"/>
                <w:szCs w:val="21"/>
                <w:vertAlign w:val="subscript"/>
              </w:rPr>
              <w:t>2</w:t>
            </w:r>
            <w:r>
              <w:rPr>
                <w:rFonts w:hint="default" w:ascii="Times New Roman" w:hAnsi="Times New Roman" w:cs="Times New Roman"/>
              </w:rPr>
              <w:t>/</w:t>
            </w:r>
            <w:r>
              <w:rPr>
                <w:rFonts w:hint="eastAsia" w:cs="Times New Roman"/>
                <w:lang w:val="en-US" w:eastAsia="zh-CN"/>
              </w:rPr>
              <w:t>t</w:t>
            </w:r>
            <w:r>
              <w:rPr>
                <w:rFonts w:hint="default" w:ascii="Times New Roman" w:hAnsi="Times New Roman" w:cs="Times New Roman"/>
              </w:rPr>
              <w:t>）</w:t>
            </w:r>
            <w:r>
              <w:rPr>
                <w:rFonts w:hint="eastAsia" w:cs="Times New Roman"/>
                <w:lang w:eastAsia="zh-CN"/>
              </w:rPr>
              <w:t>；</w:t>
            </w:r>
          </w:p>
        </w:tc>
      </w:tr>
      <w:tr w14:paraId="64C4DAE8">
        <w:tblPrEx>
          <w:tblCellMar>
            <w:top w:w="0" w:type="dxa"/>
            <w:left w:w="108" w:type="dxa"/>
            <w:bottom w:w="0" w:type="dxa"/>
            <w:right w:w="108" w:type="dxa"/>
          </w:tblCellMar>
        </w:tblPrEx>
        <w:trPr>
          <w:trHeight w:val="397" w:hRule="atLeast"/>
          <w:jc w:val="right"/>
        </w:trPr>
        <w:tc>
          <w:tcPr>
            <w:tcW w:w="324" w:type="pct"/>
            <w:vAlign w:val="top"/>
          </w:tcPr>
          <w:p w14:paraId="7974B0BE">
            <w:pPr>
              <w:tabs>
                <w:tab w:val="center" w:pos="4338"/>
                <w:tab w:val="right" w:pos="8675"/>
              </w:tabs>
              <w:adjustRightInd w:val="0"/>
              <w:snapToGrid w:val="0"/>
              <w:spacing w:line="240" w:lineRule="auto"/>
              <w:ind w:firstLine="0" w:firstLineChars="0"/>
              <w:jc w:val="right"/>
              <w:rPr>
                <w:rFonts w:hint="default" w:ascii="Cambria Math" w:hAnsi="Cambria Math" w:cs="Times New Roman"/>
                <w:i/>
                <w:szCs w:val="21"/>
                <w:oMath/>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Q</m:t>
                    </m:r>
                    <m:ctrlPr>
                      <w:rPr>
                        <w:rFonts w:hint="default" w:ascii="Cambria Math" w:hAnsi="Cambria Math" w:cs="Times New Roman"/>
                        <w:i/>
                        <w:szCs w:val="21"/>
                      </w:rPr>
                    </m:ctrlPr>
                  </m:e>
                  <m:sub>
                    <m:r>
                      <m:rPr/>
                      <w:rPr>
                        <w:rFonts w:hint="default" w:ascii="Cambria Math" w:hAnsi="Cambria Math" w:cs="Times New Roman"/>
                        <w:szCs w:val="21"/>
                      </w:rPr>
                      <m:t>a,</m:t>
                    </m:r>
                    <m:r>
                      <m:rPr/>
                      <w:rPr>
                        <w:rFonts w:hint="default" w:ascii="Cambria Math" w:hAnsi="Cambria Math" w:cs="Times New Roman"/>
                        <w:szCs w:val="21"/>
                        <w:lang w:val="en-US" w:eastAsia="zh-CN"/>
                      </w:rPr>
                      <m:t>j</m:t>
                    </m:r>
                    <m:ctrlPr>
                      <w:rPr>
                        <w:rFonts w:hint="default" w:ascii="Cambria Math" w:hAnsi="Cambria Math" w:cs="Times New Roman"/>
                        <w:i/>
                        <w:szCs w:val="21"/>
                      </w:rPr>
                    </m:ctrlPr>
                  </m:sub>
                </m:sSub>
              </m:oMath>
            </m:oMathPara>
          </w:p>
        </w:tc>
        <w:tc>
          <w:tcPr>
            <w:tcW w:w="223" w:type="pct"/>
            <w:vAlign w:val="top"/>
          </w:tcPr>
          <w:p w14:paraId="2EB47271">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452" w:type="pct"/>
            <w:vAlign w:val="center"/>
          </w:tcPr>
          <w:p w14:paraId="72DE1955">
            <w:pPr>
              <w:tabs>
                <w:tab w:val="center" w:pos="4338"/>
                <w:tab w:val="right" w:pos="8675"/>
              </w:tabs>
              <w:adjustRightInd w:val="0"/>
              <w:snapToGrid w:val="0"/>
              <w:spacing w:line="240" w:lineRule="auto"/>
              <w:ind w:firstLine="0" w:firstLineChars="0"/>
              <w:jc w:val="left"/>
              <w:rPr>
                <w:rFonts w:hint="default" w:ascii="Times New Roman" w:hAnsi="Times New Roman" w:cs="Times New Roman"/>
                <w:lang w:val="en-US" w:eastAsia="zh-CN"/>
              </w:rPr>
            </w:pPr>
            <w:r>
              <w:rPr>
                <w:rFonts w:hint="default" w:ascii="Times New Roman" w:hAnsi="Times New Roman" w:cs="Times New Roman"/>
              </w:rPr>
              <w:t>第</w:t>
            </w:r>
            <m:oMath>
              <m:r>
                <m:rPr/>
                <w:rPr>
                  <w:rFonts w:hint="default" w:ascii="Cambria Math" w:hAnsi="Cambria Math" w:cs="Times New Roman"/>
                  <w:szCs w:val="21"/>
                  <w:lang w:val="en-US" w:eastAsia="zh-CN"/>
                </w:rPr>
                <m:t>j</m:t>
              </m:r>
            </m:oMath>
            <w:r>
              <w:rPr>
                <w:rFonts w:hint="default" w:ascii="Times New Roman" w:hAnsi="Times New Roman" w:cs="Times New Roman"/>
              </w:rPr>
              <w:t>类非碳酸盐替代原料消耗量，单位为</w:t>
            </w:r>
            <w:r>
              <w:rPr>
                <w:rFonts w:hint="eastAsia" w:cs="Times New Roman"/>
                <w:lang w:val="en-US" w:eastAsia="zh-CN"/>
              </w:rPr>
              <w:t>吨</w:t>
            </w:r>
            <w:r>
              <w:rPr>
                <w:rFonts w:hint="default" w:ascii="Times New Roman" w:hAnsi="Times New Roman" w:cs="Times New Roman"/>
              </w:rPr>
              <w:t>（</w:t>
            </w:r>
            <w:r>
              <w:rPr>
                <w:rFonts w:hint="eastAsia" w:cs="Times New Roman"/>
                <w:lang w:val="en-US" w:eastAsia="zh-CN"/>
              </w:rPr>
              <w:t>t</w:t>
            </w:r>
            <w:r>
              <w:rPr>
                <w:rFonts w:hint="default" w:ascii="Times New Roman" w:hAnsi="Times New Roman" w:cs="Times New Roman"/>
              </w:rPr>
              <w:t>）；</w:t>
            </w:r>
          </w:p>
        </w:tc>
      </w:tr>
      <w:tr w14:paraId="6013BFB0">
        <w:tblPrEx>
          <w:tblCellMar>
            <w:top w:w="0" w:type="dxa"/>
            <w:left w:w="108" w:type="dxa"/>
            <w:bottom w:w="0" w:type="dxa"/>
            <w:right w:w="108" w:type="dxa"/>
          </w:tblCellMar>
        </w:tblPrEx>
        <w:trPr>
          <w:trHeight w:val="397" w:hRule="atLeast"/>
          <w:jc w:val="right"/>
        </w:trPr>
        <w:tc>
          <w:tcPr>
            <w:tcW w:w="324" w:type="pct"/>
            <w:vAlign w:val="top"/>
          </w:tcPr>
          <w:p w14:paraId="55C20F81">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lang w:val="en-US" w:eastAsia="zh-CN"/>
                <w:oMath/>
              </w:rPr>
            </w:pPr>
            <m:oMathPara>
              <m:oMathParaPr>
                <m:jc m:val="left"/>
              </m:oMathParaPr>
              <m:oMath>
                <m:sSub>
                  <m:sSubPr>
                    <m:ctrlPr>
                      <w:rPr>
                        <w:rFonts w:hint="default" w:ascii="Cambria Math" w:hAnsi="Cambria Math" w:cs="Times New Roman"/>
                        <w:i/>
                        <w:szCs w:val="21"/>
                      </w:rPr>
                    </m:ctrlPr>
                  </m:sSubPr>
                  <m:e>
                    <m:r>
                      <m:rPr/>
                      <w:rPr>
                        <w:rFonts w:hint="default" w:ascii="Cambria Math" w:hAnsi="Cambria Math" w:cs="Times New Roman"/>
                        <w:szCs w:val="21"/>
                      </w:rPr>
                      <m:t>EF</m:t>
                    </m:r>
                    <m:ctrlPr>
                      <w:rPr>
                        <w:rFonts w:hint="default" w:ascii="Cambria Math" w:hAnsi="Cambria Math" w:cs="Times New Roman"/>
                        <w:i/>
                        <w:szCs w:val="21"/>
                      </w:rPr>
                    </m:ctrlPr>
                  </m:e>
                  <m:sub>
                    <m:r>
                      <m:rPr/>
                      <w:rPr>
                        <w:rFonts w:hint="default" w:ascii="Cambria Math" w:hAnsi="Cambria Math" w:cs="Times New Roman"/>
                        <w:szCs w:val="21"/>
                      </w:rPr>
                      <m:t>a</m:t>
                    </m:r>
                    <m:r>
                      <m:rPr/>
                      <w:rPr>
                        <w:rFonts w:hint="default" w:ascii="Cambria Math" w:hAnsi="Cambria Math" w:cs="Times New Roman"/>
                      </w:rPr>
                      <m:t>,</m:t>
                    </m:r>
                    <m:r>
                      <m:rPr/>
                      <w:rPr>
                        <w:rFonts w:hint="default" w:ascii="Cambria Math" w:hAnsi="Cambria Math" w:cs="Times New Roman"/>
                        <w:lang w:val="en-US" w:eastAsia="zh-CN"/>
                      </w:rPr>
                      <m:t>j</m:t>
                    </m:r>
                    <m:ctrlPr>
                      <w:rPr>
                        <w:rFonts w:hint="default" w:ascii="Cambria Math" w:hAnsi="Cambria Math" w:cs="Times New Roman"/>
                        <w:i/>
                        <w:szCs w:val="21"/>
                      </w:rPr>
                    </m:ctrlPr>
                  </m:sub>
                </m:sSub>
              </m:oMath>
            </m:oMathPara>
          </w:p>
        </w:tc>
        <w:tc>
          <w:tcPr>
            <w:tcW w:w="223" w:type="pct"/>
            <w:vAlign w:val="top"/>
          </w:tcPr>
          <w:p w14:paraId="57D833E2">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452" w:type="pct"/>
            <w:vAlign w:val="center"/>
          </w:tcPr>
          <w:p w14:paraId="7A0B687E">
            <w:pPr>
              <w:tabs>
                <w:tab w:val="center" w:pos="4338"/>
                <w:tab w:val="right" w:pos="8675"/>
              </w:tabs>
              <w:adjustRightInd w:val="0"/>
              <w:snapToGrid w:val="0"/>
              <w:spacing w:line="240" w:lineRule="auto"/>
              <w:ind w:firstLine="0" w:firstLineChars="0"/>
              <w:jc w:val="left"/>
              <w:rPr>
                <w:rFonts w:hint="default" w:ascii="Times New Roman" w:hAnsi="Times New Roman" w:cs="Times New Roman"/>
                <w:lang w:val="en-US" w:eastAsia="zh-CN"/>
              </w:rPr>
            </w:pPr>
            <w:r>
              <w:rPr>
                <w:rFonts w:hint="default" w:ascii="Times New Roman" w:hAnsi="Times New Roman" w:cs="Times New Roman"/>
              </w:rPr>
              <w:t>第</w:t>
            </w:r>
            <w:r>
              <w:rPr>
                <w:rFonts w:hint="default" w:ascii="Times New Roman" w:hAnsi="Times New Roman" w:cs="Times New Roman"/>
                <w:i/>
                <w:iCs/>
                <w:lang w:val="en-US" w:eastAsia="zh-CN"/>
              </w:rPr>
              <w:t>j</w:t>
            </w:r>
            <w:r>
              <w:rPr>
                <w:rFonts w:hint="default" w:ascii="Times New Roman" w:hAnsi="Times New Roman" w:cs="Times New Roman"/>
              </w:rPr>
              <w:t>类非碳酸盐替代原料对应的扣减系数，</w:t>
            </w:r>
            <w:r>
              <w:rPr>
                <w:rFonts w:hint="default" w:ascii="Times New Roman" w:hAnsi="Times New Roman" w:cs="Times New Roman"/>
                <w:lang w:val="en-US" w:eastAsia="zh-CN"/>
              </w:rPr>
              <w:t>按式（10）计算，</w:t>
            </w:r>
            <w:r>
              <w:rPr>
                <w:rFonts w:hint="default" w:ascii="Times New Roman" w:hAnsi="Times New Roman" w:cs="Times New Roman"/>
              </w:rPr>
              <w:t>单位为</w:t>
            </w:r>
            <w:r>
              <w:rPr>
                <w:rFonts w:hint="eastAsia" w:cs="Times New Roman"/>
                <w:lang w:val="en-US" w:eastAsia="zh-CN"/>
              </w:rPr>
              <w:t>千克</w:t>
            </w:r>
            <w:r>
              <w:rPr>
                <w:rFonts w:hint="default" w:ascii="Times New Roman" w:hAnsi="Times New Roman" w:cs="Times New Roman"/>
              </w:rPr>
              <w:t>二氧化碳每吨（</w:t>
            </w:r>
            <w:r>
              <w:rPr>
                <w:rFonts w:hint="eastAsia" w:cs="Times New Roman"/>
                <w:lang w:val="en-US" w:eastAsia="zh-CN"/>
              </w:rPr>
              <w:t>kg</w:t>
            </w:r>
            <w:r>
              <w:rPr>
                <w:rFonts w:hint="default" w:ascii="Times New Roman" w:hAnsi="Times New Roman" w:cs="Times New Roman"/>
                <w:szCs w:val="21"/>
              </w:rPr>
              <w:t>CO</w:t>
            </w:r>
            <w:r>
              <w:rPr>
                <w:rFonts w:hint="default" w:ascii="Times New Roman" w:hAnsi="Times New Roman" w:cs="Times New Roman"/>
                <w:szCs w:val="21"/>
                <w:vertAlign w:val="subscript"/>
              </w:rPr>
              <w:t>2</w:t>
            </w:r>
            <w:r>
              <w:rPr>
                <w:rFonts w:hint="default" w:ascii="Times New Roman" w:hAnsi="Times New Roman" w:cs="Times New Roman"/>
              </w:rPr>
              <w:t>/t）；</w:t>
            </w:r>
          </w:p>
        </w:tc>
      </w:tr>
      <w:tr w14:paraId="0BD1B26C">
        <w:tblPrEx>
          <w:tblCellMar>
            <w:top w:w="0" w:type="dxa"/>
            <w:left w:w="108" w:type="dxa"/>
            <w:bottom w:w="0" w:type="dxa"/>
            <w:right w:w="108" w:type="dxa"/>
          </w:tblCellMar>
        </w:tblPrEx>
        <w:trPr>
          <w:trHeight w:val="397" w:hRule="atLeast"/>
          <w:jc w:val="right"/>
        </w:trPr>
        <w:tc>
          <w:tcPr>
            <w:tcW w:w="324" w:type="pct"/>
            <w:vAlign w:val="top"/>
          </w:tcPr>
          <w:p w14:paraId="15D62A4E">
            <w:pPr>
              <w:tabs>
                <w:tab w:val="center" w:pos="4338"/>
                <w:tab w:val="right" w:pos="8675"/>
              </w:tabs>
              <w:adjustRightInd w:val="0"/>
              <w:snapToGrid w:val="0"/>
              <w:spacing w:line="240" w:lineRule="auto"/>
              <w:ind w:firstLine="0" w:firstLineChars="0"/>
              <w:jc w:val="right"/>
              <w:rPr>
                <w:rFonts w:hint="default" w:ascii="Cambria Math" w:hAnsi="Cambria Math" w:eastAsia="宋体" w:cs="Times New Roman"/>
                <w:i/>
                <w:szCs w:val="21"/>
                <w:lang w:eastAsia="zh-CN"/>
                <w:oMath/>
              </w:rPr>
            </w:pPr>
            <m:oMathPara>
              <m:oMathParaPr>
                <m:jc m:val="left"/>
              </m:oMathParaPr>
              <m:oMath>
                <m:r>
                  <m:rPr/>
                  <w:rPr>
                    <w:rFonts w:hint="default" w:ascii="Cambria Math" w:hAnsi="Cambria Math" w:cs="Times New Roman"/>
                    <w:szCs w:val="21"/>
                    <w:lang w:val="en-US" w:eastAsia="zh-CN"/>
                  </w:rPr>
                  <m:t>j</m:t>
                </m:r>
              </m:oMath>
            </m:oMathPara>
          </w:p>
        </w:tc>
        <w:tc>
          <w:tcPr>
            <w:tcW w:w="223" w:type="pct"/>
            <w:vAlign w:val="top"/>
          </w:tcPr>
          <w:p w14:paraId="1E39840B">
            <w:pPr>
              <w:tabs>
                <w:tab w:val="center" w:pos="4338"/>
                <w:tab w:val="right" w:pos="8675"/>
              </w:tabs>
              <w:adjustRightInd w:val="0"/>
              <w:snapToGrid w:val="0"/>
              <w:spacing w:line="240" w:lineRule="auto"/>
              <w:ind w:firstLine="0" w:firstLineChars="0"/>
              <w:jc w:val="left"/>
              <w:rPr>
                <w:rFonts w:hint="default" w:ascii="Times New Roman" w:hAnsi="Times New Roman" w:cs="Times New Roman"/>
                <w:szCs w:val="21"/>
              </w:rPr>
            </w:pPr>
            <w:r>
              <w:rPr>
                <w:rFonts w:hint="default" w:ascii="Times New Roman" w:hAnsi="Times New Roman" w:cs="Times New Roman"/>
                <w:szCs w:val="21"/>
              </w:rPr>
              <w:t>—</w:t>
            </w:r>
          </w:p>
        </w:tc>
        <w:tc>
          <w:tcPr>
            <w:tcW w:w="4452" w:type="pct"/>
            <w:vAlign w:val="center"/>
          </w:tcPr>
          <w:p w14:paraId="6B3212C6">
            <w:pPr>
              <w:tabs>
                <w:tab w:val="center" w:pos="4338"/>
                <w:tab w:val="right" w:pos="8675"/>
              </w:tabs>
              <w:adjustRightInd w:val="0"/>
              <w:snapToGrid w:val="0"/>
              <w:spacing w:line="240" w:lineRule="auto"/>
              <w:ind w:firstLine="0" w:firstLineChars="0"/>
              <w:jc w:val="left"/>
              <w:rPr>
                <w:rFonts w:hint="eastAsia" w:ascii="Times New Roman" w:hAnsi="Times New Roman" w:eastAsia="宋体" w:cs="Times New Roman"/>
                <w:lang w:val="en-US" w:eastAsia="zh-CN"/>
              </w:rPr>
            </w:pPr>
            <w:r>
              <w:rPr>
                <w:rFonts w:hint="default" w:ascii="Times New Roman" w:hAnsi="Times New Roman" w:cs="Times New Roman"/>
                <w:position w:val="-12"/>
              </w:rPr>
              <w:t>非碳酸盐替代原料种类</w:t>
            </w:r>
            <w:r>
              <w:rPr>
                <w:rFonts w:hint="eastAsia" w:cs="Times New Roman"/>
                <w:position w:val="-12"/>
                <w:lang w:eastAsia="zh-CN"/>
              </w:rPr>
              <w:t>。</w:t>
            </w:r>
          </w:p>
        </w:tc>
      </w:tr>
    </w:tbl>
    <w:p w14:paraId="2B9041B5">
      <w:pPr>
        <w:pStyle w:val="162"/>
        <w:rPr>
          <w:rFonts w:hint="default" w:ascii="Times New Roman" w:hAnsi="Times New Roman" w:cs="Times New Roman"/>
        </w:rPr>
      </w:pPr>
      <m:oMath>
        <m:sSub>
          <m:sSubPr>
            <m:ctrlPr>
              <w:rPr>
                <w:rFonts w:hint="default" w:ascii="Cambria Math" w:hAnsi="Cambria Math" w:cs="Times New Roman"/>
                <w:iCs/>
              </w:rPr>
            </m:ctrlPr>
          </m:sSubPr>
          <m:e>
            <m:r>
              <m:rPr>
                <m:sty m:val="p"/>
              </m:rPr>
              <w:rPr>
                <w:rFonts w:hint="default" w:ascii="Cambria Math" w:hAnsi="Cambria Math" w:cs="Times New Roman"/>
              </w:rPr>
              <m:t>EF</m:t>
            </m:r>
            <m:ctrlPr>
              <w:rPr>
                <w:rFonts w:hint="default" w:ascii="Cambria Math" w:hAnsi="Cambria Math" w:cs="Times New Roman"/>
                <w:iCs/>
              </w:rPr>
            </m:ctrlPr>
          </m:e>
          <m:sub>
            <m:r>
              <m:rPr>
                <m:sty m:val="p"/>
              </m:rPr>
              <w:rPr>
                <w:rFonts w:hint="default" w:ascii="Cambria Math" w:hAnsi="Cambria Math" w:cs="Times New Roman"/>
              </w:rPr>
              <m:t>ck</m:t>
            </m:r>
            <m:ctrlPr>
              <w:rPr>
                <w:rFonts w:hint="default" w:ascii="Cambria Math" w:hAnsi="Cambria Math" w:cs="Times New Roman"/>
                <w:iCs/>
              </w:rPr>
            </m:ctrlPr>
          </m:sub>
        </m:sSub>
        <m:r>
          <m:rPr>
            <m:sty m:val="p"/>
          </m:rPr>
          <w:rPr>
            <w:rFonts w:hint="default" w:ascii="Cambria Math" w:hAnsi="Cambria Math" w:cs="Times New Roman"/>
          </w:rPr>
          <m:t>=</m:t>
        </m:r>
        <m:r>
          <m:rPr>
            <m:sty m:val="p"/>
          </m:rPr>
          <w:rPr>
            <w:rFonts w:hint="eastAsia" w:ascii="Cambria Math" w:hAnsi="Cambria Math" w:cs="Times New Roman"/>
            <w:lang w:eastAsia="zh-CN"/>
          </w:rPr>
          <m:t>（</m:t>
        </m:r>
        <m:r>
          <m:rPr>
            <m:sty m:val="p"/>
          </m:rPr>
          <w:rPr>
            <w:rFonts w:hint="default" w:ascii="Cambria Math" w:hAnsi="Cambria Math" w:cs="Times New Roman"/>
          </w:rPr>
          <m:t>F</m:t>
        </m:r>
        <m:sSub>
          <m:sSubPr>
            <m:ctrlPr>
              <w:rPr>
                <w:rFonts w:hint="default" w:ascii="Cambria Math" w:hAnsi="Cambria Math" w:cs="Times New Roman"/>
                <w:iCs/>
              </w:rPr>
            </m:ctrlPr>
          </m:sSubPr>
          <m:e>
            <m:r>
              <m:rPr>
                <m:sty m:val="p"/>
              </m:rPr>
              <w:rPr>
                <w:rFonts w:hint="default" w:ascii="Cambria Math" w:hAnsi="Cambria Math" w:cs="Times New Roman"/>
              </w:rPr>
              <m:t>R</m:t>
            </m:r>
            <m:ctrlPr>
              <w:rPr>
                <w:rFonts w:hint="default" w:ascii="Cambria Math" w:hAnsi="Cambria Math" w:cs="Times New Roman"/>
                <w:iCs/>
              </w:rPr>
            </m:ctrlPr>
          </m:e>
          <m:sub>
            <m:r>
              <m:rPr>
                <m:sty m:val="p"/>
              </m:rPr>
              <w:rPr>
                <w:rFonts w:hint="default" w:ascii="Cambria Math" w:hAnsi="Cambria Math" w:cs="Times New Roman"/>
              </w:rPr>
              <m:t>1</m:t>
            </m:r>
            <m:ctrlPr>
              <w:rPr>
                <w:rFonts w:hint="default" w:ascii="Cambria Math" w:hAnsi="Cambria Math" w:cs="Times New Roman"/>
                <w:iCs/>
              </w:rPr>
            </m:ctrlPr>
          </m:sub>
        </m:sSub>
        <m:r>
          <m:rPr>
            <m:sty m:val="p"/>
          </m:rPr>
          <w:rPr>
            <w:rFonts w:hint="default" w:ascii="Cambria Math" w:hAnsi="Cambria Math" w:cs="Times New Roman"/>
          </w:rPr>
          <m:t>×</m:t>
        </m:r>
        <m:f>
          <m:fPr>
            <m:ctrlPr>
              <w:rPr>
                <w:rFonts w:hint="default" w:ascii="Cambria Math" w:hAnsi="Cambria Math" w:cs="Times New Roman"/>
                <w:iCs/>
              </w:rPr>
            </m:ctrlPr>
          </m:fPr>
          <m:num>
            <m:r>
              <m:rPr>
                <m:sty m:val="p"/>
              </m:rPr>
              <w:rPr>
                <w:rFonts w:hint="default" w:ascii="Cambria Math" w:hAnsi="Cambria Math" w:cs="Times New Roman"/>
              </w:rPr>
              <m:t>44</m:t>
            </m:r>
            <m:ctrlPr>
              <w:rPr>
                <w:rFonts w:hint="default" w:ascii="Cambria Math" w:hAnsi="Cambria Math" w:cs="Times New Roman"/>
                <w:iCs/>
              </w:rPr>
            </m:ctrlPr>
          </m:num>
          <m:den>
            <m:r>
              <m:rPr>
                <m:sty m:val="p"/>
              </m:rPr>
              <w:rPr>
                <w:rFonts w:hint="default" w:ascii="Cambria Math" w:hAnsi="Cambria Math" w:cs="Times New Roman"/>
              </w:rPr>
              <m:t>56</m:t>
            </m:r>
            <m:ctrlPr>
              <w:rPr>
                <w:rFonts w:hint="default" w:ascii="Cambria Math" w:hAnsi="Cambria Math" w:cs="Times New Roman"/>
                <w:iCs/>
              </w:rPr>
            </m:ctrlPr>
          </m:den>
        </m:f>
        <m:r>
          <m:rPr>
            <m:sty m:val="p"/>
          </m:rPr>
          <w:rPr>
            <w:rFonts w:hint="default" w:ascii="Cambria Math" w:hAnsi="Cambria Math" w:cs="Times New Roman"/>
          </w:rPr>
          <m:t>+F</m:t>
        </m:r>
        <m:sSub>
          <m:sSubPr>
            <m:ctrlPr>
              <w:rPr>
                <w:rFonts w:hint="default" w:ascii="Cambria Math" w:hAnsi="Cambria Math" w:cs="Times New Roman"/>
                <w:iCs/>
              </w:rPr>
            </m:ctrlPr>
          </m:sSubPr>
          <m:e>
            <m:r>
              <m:rPr>
                <m:sty m:val="p"/>
              </m:rPr>
              <w:rPr>
                <w:rFonts w:hint="default" w:ascii="Cambria Math" w:hAnsi="Cambria Math" w:cs="Times New Roman"/>
              </w:rPr>
              <m:t>R</m:t>
            </m:r>
            <m:ctrlPr>
              <w:rPr>
                <w:rFonts w:hint="default" w:ascii="Cambria Math" w:hAnsi="Cambria Math" w:cs="Times New Roman"/>
                <w:iCs/>
              </w:rPr>
            </m:ctrlPr>
          </m:e>
          <m:sub>
            <m:r>
              <m:rPr>
                <m:sty m:val="p"/>
              </m:rPr>
              <w:rPr>
                <w:rFonts w:hint="default" w:ascii="Cambria Math" w:hAnsi="Cambria Math" w:cs="Times New Roman"/>
              </w:rPr>
              <m:t>2</m:t>
            </m:r>
            <m:ctrlPr>
              <w:rPr>
                <w:rFonts w:hint="default" w:ascii="Cambria Math" w:hAnsi="Cambria Math" w:cs="Times New Roman"/>
                <w:iCs/>
              </w:rPr>
            </m:ctrlPr>
          </m:sub>
        </m:sSub>
        <m:r>
          <m:rPr>
            <m:sty m:val="p"/>
          </m:rPr>
          <w:rPr>
            <w:rFonts w:hint="default" w:ascii="Cambria Math" w:hAnsi="Cambria Math" w:cs="Times New Roman"/>
          </w:rPr>
          <m:t>×</m:t>
        </m:r>
        <m:f>
          <m:fPr>
            <m:ctrlPr>
              <w:rPr>
                <w:rFonts w:hint="default" w:ascii="Cambria Math" w:hAnsi="Cambria Math" w:cs="Times New Roman"/>
                <w:iCs/>
              </w:rPr>
            </m:ctrlPr>
          </m:fPr>
          <m:num>
            <m:r>
              <m:rPr>
                <m:sty m:val="p"/>
              </m:rPr>
              <w:rPr>
                <w:rFonts w:hint="default" w:ascii="Cambria Math" w:hAnsi="Cambria Math" w:cs="Times New Roman"/>
              </w:rPr>
              <m:t>44</m:t>
            </m:r>
            <m:ctrlPr>
              <w:rPr>
                <w:rFonts w:hint="default" w:ascii="Cambria Math" w:hAnsi="Cambria Math" w:cs="Times New Roman"/>
                <w:iCs/>
              </w:rPr>
            </m:ctrlPr>
          </m:num>
          <m:den>
            <m:r>
              <m:rPr>
                <m:sty m:val="p"/>
              </m:rPr>
              <w:rPr>
                <w:rFonts w:hint="default" w:ascii="Cambria Math" w:hAnsi="Cambria Math" w:cs="Times New Roman"/>
              </w:rPr>
              <m:t>40</m:t>
            </m:r>
            <m:ctrlPr>
              <w:rPr>
                <w:rFonts w:hint="default" w:ascii="Cambria Math" w:hAnsi="Cambria Math" w:cs="Times New Roman"/>
                <w:iCs/>
              </w:rPr>
            </m:ctrlPr>
          </m:den>
        </m:f>
        <m:r>
          <m:rPr>
            <m:sty m:val="p"/>
          </m:rPr>
          <w:rPr>
            <w:rFonts w:hint="eastAsia" w:ascii="Cambria Math" w:hAnsi="Cambria Math" w:cs="Times New Roman"/>
            <w:lang w:eastAsia="zh-CN"/>
          </w:rPr>
          <m:t>）</m:t>
        </m:r>
        <m:r>
          <m:rPr>
            <m:sty m:val="p"/>
          </m:rPr>
          <w:rPr>
            <w:rFonts w:hint="default" w:ascii="Cambria Math" w:hAnsi="Cambria Math" w:cs="Cambria Math"/>
            <w:lang w:eastAsia="zh-CN"/>
          </w:rPr>
          <m:t>×</m:t>
        </m:r>
        <m:r>
          <m:rPr>
            <m:sty m:val="p"/>
          </m:rPr>
          <w:rPr>
            <w:rFonts w:hint="default" w:ascii="Cambria Math" w:hAnsi="Cambria Math" w:cs="Cambria Math"/>
            <w:lang w:val="en-US" w:eastAsia="zh-CN"/>
          </w:rPr>
          <m:t>1000</m:t>
        </m:r>
      </m:oMath>
      <w:r>
        <w:rPr>
          <w:rFonts w:hint="eastAsia" w:cs="Times New Roman"/>
          <w:lang w:val="en-US" w:eastAsia="zh-CN"/>
        </w:rPr>
        <w:t xml:space="preserve">                            </w:t>
      </w:r>
      <w:r>
        <w:rPr>
          <w:rFonts w:hint="default" w:ascii="Times New Roman" w:hAnsi="Times New Roman" w:cs="Times New Roman"/>
        </w:rPr>
        <w:t>（</w:t>
      </w:r>
      <w:r>
        <w:rPr>
          <w:rFonts w:hint="eastAsia" w:cs="Times New Roman"/>
          <w:lang w:val="en-US" w:eastAsia="zh-CN"/>
        </w:rPr>
        <w:t>9</w:t>
      </w:r>
      <w:r>
        <w:rPr>
          <w:rFonts w:hint="default" w:ascii="Times New Roman" w:hAnsi="Times New Roman" w:cs="Times New Roman"/>
        </w:rPr>
        <w:t>）</w:t>
      </w:r>
    </w:p>
    <w:p w14:paraId="734370C5">
      <w:pPr>
        <w:pStyle w:val="26"/>
        <w:rPr>
          <w:rFonts w:hint="default" w:ascii="Times New Roman" w:hAnsi="Times New Roman" w:cs="Times New Roman"/>
        </w:rPr>
      </w:pPr>
      <w:r>
        <w:rPr>
          <w:rFonts w:hint="default" w:ascii="Times New Roman" w:hAnsi="Times New Roman" w:cs="Times New Roman"/>
        </w:rPr>
        <w:t>式中：</w:t>
      </w:r>
    </w:p>
    <w:tbl>
      <w:tblPr>
        <w:tblStyle w:val="35"/>
        <w:tblW w:w="4996" w:type="pct"/>
        <w:tblInd w:w="0" w:type="dxa"/>
        <w:tblLayout w:type="fixed"/>
        <w:tblCellMar>
          <w:top w:w="0" w:type="dxa"/>
          <w:left w:w="108" w:type="dxa"/>
          <w:bottom w:w="0" w:type="dxa"/>
          <w:right w:w="108" w:type="dxa"/>
        </w:tblCellMar>
      </w:tblPr>
      <w:tblGrid>
        <w:gridCol w:w="1014"/>
        <w:gridCol w:w="421"/>
        <w:gridCol w:w="8524"/>
      </w:tblGrid>
      <w:tr w14:paraId="73F0D83E">
        <w:tblPrEx>
          <w:tblCellMar>
            <w:top w:w="0" w:type="dxa"/>
            <w:left w:w="108" w:type="dxa"/>
            <w:bottom w:w="0" w:type="dxa"/>
            <w:right w:w="108" w:type="dxa"/>
          </w:tblCellMar>
        </w:tblPrEx>
        <w:trPr>
          <w:trHeight w:val="20" w:hRule="atLeast"/>
        </w:trPr>
        <w:tc>
          <w:tcPr>
            <w:tcW w:w="508" w:type="pct"/>
          </w:tcPr>
          <w:p w14:paraId="29D35731">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m:oMathPara>
              <m:oMathParaPr>
                <m:jc m:val="right"/>
              </m:oMathParaPr>
              <m:oMath>
                <m:r>
                  <m:rPr/>
                  <w:rPr>
                    <w:rFonts w:hint="default" w:ascii="Cambria Math" w:hAnsi="Cambria Math" w:cs="Times New Roman"/>
                    <w:szCs w:val="21"/>
                  </w:rPr>
                  <m:t>F</m:t>
                </m:r>
                <m:sSub>
                  <m:sSubPr>
                    <m:ctrlPr>
                      <w:rPr>
                        <w:rFonts w:hint="default" w:ascii="Cambria Math" w:hAnsi="Cambria Math" w:cs="Times New Roman"/>
                        <w:i/>
                        <w:szCs w:val="21"/>
                      </w:rPr>
                    </m:ctrlPr>
                  </m:sSubPr>
                  <m:e>
                    <m:r>
                      <m:rPr/>
                      <w:rPr>
                        <w:rFonts w:hint="default" w:ascii="Cambria Math" w:hAnsi="Cambria Math" w:cs="Times New Roman"/>
                        <w:szCs w:val="21"/>
                      </w:rPr>
                      <m:t>R</m:t>
                    </m:r>
                    <m:ctrlPr>
                      <w:rPr>
                        <w:rFonts w:hint="default" w:ascii="Cambria Math" w:hAnsi="Cambria Math" w:cs="Times New Roman"/>
                        <w:i/>
                        <w:szCs w:val="21"/>
                      </w:rPr>
                    </m:ctrlPr>
                  </m:e>
                  <m:sub>
                    <m:r>
                      <m:rPr/>
                      <w:rPr>
                        <w:rFonts w:hint="default" w:ascii="Cambria Math" w:hAnsi="Cambria Math" w:cs="Times New Roman"/>
                        <w:szCs w:val="21"/>
                      </w:rPr>
                      <m:t>1</m:t>
                    </m:r>
                    <m:ctrlPr>
                      <w:rPr>
                        <w:rFonts w:hint="default" w:ascii="Cambria Math" w:hAnsi="Cambria Math" w:cs="Times New Roman"/>
                        <w:i/>
                        <w:szCs w:val="21"/>
                      </w:rPr>
                    </m:ctrlPr>
                  </m:sub>
                </m:sSub>
              </m:oMath>
            </m:oMathPara>
          </w:p>
        </w:tc>
        <w:tc>
          <w:tcPr>
            <w:tcW w:w="211" w:type="pct"/>
          </w:tcPr>
          <w:p w14:paraId="76128B8E">
            <w:pPr>
              <w:tabs>
                <w:tab w:val="center" w:pos="4338"/>
                <w:tab w:val="right" w:pos="8675"/>
              </w:tabs>
              <w:adjustRightInd w:val="0"/>
              <w:snapToGrid w:val="0"/>
              <w:spacing w:line="240" w:lineRule="auto"/>
              <w:ind w:firstLine="0" w:firstLineChars="0"/>
              <w:rPr>
                <w:rFonts w:hint="default" w:ascii="Times New Roman" w:hAnsi="Times New Roman" w:cs="Times New Roman"/>
                <w:szCs w:val="21"/>
              </w:rPr>
            </w:pPr>
            <w:r>
              <w:rPr>
                <w:rFonts w:hint="default" w:ascii="Times New Roman" w:hAnsi="Times New Roman" w:cs="Times New Roman"/>
                <w:szCs w:val="21"/>
              </w:rPr>
              <w:t>—</w:t>
            </w:r>
          </w:p>
        </w:tc>
        <w:tc>
          <w:tcPr>
            <w:tcW w:w="4279" w:type="pct"/>
          </w:tcPr>
          <w:p w14:paraId="2E8926FC">
            <w:pPr>
              <w:tabs>
                <w:tab w:val="center" w:pos="4338"/>
                <w:tab w:val="right" w:pos="8675"/>
              </w:tabs>
              <w:adjustRightInd w:val="0"/>
              <w:snapToGrid w:val="0"/>
              <w:spacing w:line="240" w:lineRule="auto"/>
              <w:ind w:firstLine="0" w:firstLineChars="0"/>
              <w:rPr>
                <w:rFonts w:hint="default" w:ascii="Times New Roman" w:hAnsi="Times New Roman" w:cs="Times New Roman"/>
              </w:rPr>
            </w:pPr>
            <w:r>
              <w:rPr>
                <w:rFonts w:hint="default" w:ascii="Times New Roman" w:hAnsi="Times New Roman" w:cs="Times New Roman"/>
              </w:rPr>
              <w:t>熟料中氧化钙含量，以%表示；</w:t>
            </w:r>
          </w:p>
        </w:tc>
      </w:tr>
      <w:tr w14:paraId="6871E9DC">
        <w:tblPrEx>
          <w:tblCellMar>
            <w:top w:w="0" w:type="dxa"/>
            <w:left w:w="108" w:type="dxa"/>
            <w:bottom w:w="0" w:type="dxa"/>
            <w:right w:w="108" w:type="dxa"/>
          </w:tblCellMar>
        </w:tblPrEx>
        <w:trPr>
          <w:trHeight w:val="20" w:hRule="atLeast"/>
        </w:trPr>
        <w:tc>
          <w:tcPr>
            <w:tcW w:w="508" w:type="pct"/>
          </w:tcPr>
          <w:p w14:paraId="000094FD">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m:oMathPara>
              <m:oMathParaPr>
                <m:jc m:val="right"/>
              </m:oMathParaPr>
              <m:oMath>
                <m:r>
                  <m:rPr/>
                  <w:rPr>
                    <w:rFonts w:hint="default" w:ascii="Cambria Math" w:hAnsi="Cambria Math" w:cs="Times New Roman"/>
                  </w:rPr>
                  <m:t>F</m:t>
                </m:r>
                <m:sSub>
                  <m:sSubPr>
                    <m:ctrlPr>
                      <w:rPr>
                        <w:rFonts w:hint="default" w:ascii="Cambria Math" w:hAnsi="Cambria Math" w:cs="Times New Roman"/>
                        <w:i/>
                      </w:rPr>
                    </m:ctrlPr>
                  </m:sSubPr>
                  <m:e>
                    <m:r>
                      <m:rPr/>
                      <w:rPr>
                        <w:rFonts w:hint="default" w:ascii="Cambria Math" w:hAnsi="Cambria Math" w:cs="Times New Roman"/>
                      </w:rPr>
                      <m:t>R</m:t>
                    </m:r>
                    <m:ctrlPr>
                      <w:rPr>
                        <w:rFonts w:hint="default" w:ascii="Cambria Math" w:hAnsi="Cambria Math" w:cs="Times New Roman"/>
                        <w:i/>
                      </w:rPr>
                    </m:ctrlPr>
                  </m:e>
                  <m:sub>
                    <m:r>
                      <m:rPr/>
                      <w:rPr>
                        <w:rFonts w:hint="default" w:ascii="Cambria Math" w:hAnsi="Cambria Math" w:cs="Times New Roman"/>
                      </w:rPr>
                      <m:t>2</m:t>
                    </m:r>
                    <m:ctrlPr>
                      <w:rPr>
                        <w:rFonts w:hint="default" w:ascii="Cambria Math" w:hAnsi="Cambria Math" w:cs="Times New Roman"/>
                        <w:i/>
                      </w:rPr>
                    </m:ctrlPr>
                  </m:sub>
                </m:sSub>
              </m:oMath>
            </m:oMathPara>
          </w:p>
        </w:tc>
        <w:tc>
          <w:tcPr>
            <w:tcW w:w="211" w:type="pct"/>
          </w:tcPr>
          <w:p w14:paraId="277A1A49">
            <w:pPr>
              <w:tabs>
                <w:tab w:val="center" w:pos="4338"/>
                <w:tab w:val="right" w:pos="8675"/>
              </w:tabs>
              <w:adjustRightInd w:val="0"/>
              <w:snapToGrid w:val="0"/>
              <w:spacing w:line="240" w:lineRule="auto"/>
              <w:ind w:firstLine="0" w:firstLineChars="0"/>
              <w:rPr>
                <w:rFonts w:hint="default" w:ascii="Times New Roman" w:hAnsi="Times New Roman" w:cs="Times New Roman"/>
                <w:szCs w:val="21"/>
              </w:rPr>
            </w:pPr>
            <w:r>
              <w:rPr>
                <w:rFonts w:hint="default" w:ascii="Times New Roman" w:hAnsi="Times New Roman" w:cs="Times New Roman"/>
                <w:szCs w:val="21"/>
              </w:rPr>
              <w:t>—</w:t>
            </w:r>
          </w:p>
        </w:tc>
        <w:tc>
          <w:tcPr>
            <w:tcW w:w="4279" w:type="pct"/>
          </w:tcPr>
          <w:p w14:paraId="788B2286">
            <w:pPr>
              <w:tabs>
                <w:tab w:val="center" w:pos="4338"/>
                <w:tab w:val="right" w:pos="8675"/>
              </w:tabs>
              <w:adjustRightInd w:val="0"/>
              <w:snapToGrid w:val="0"/>
              <w:spacing w:line="240" w:lineRule="auto"/>
              <w:ind w:firstLine="0" w:firstLineChars="0"/>
              <w:rPr>
                <w:rFonts w:hint="default" w:ascii="Times New Roman" w:hAnsi="Times New Roman" w:cs="Times New Roman"/>
              </w:rPr>
            </w:pPr>
            <w:r>
              <w:rPr>
                <w:rFonts w:hint="default" w:ascii="Times New Roman" w:hAnsi="Times New Roman" w:cs="Times New Roman"/>
              </w:rPr>
              <w:t>熟料中氧化镁含量，以%表示；</w:t>
            </w:r>
          </w:p>
        </w:tc>
      </w:tr>
      <w:tr w14:paraId="4B1C8287">
        <w:tblPrEx>
          <w:tblCellMar>
            <w:top w:w="0" w:type="dxa"/>
            <w:left w:w="108" w:type="dxa"/>
            <w:bottom w:w="0" w:type="dxa"/>
            <w:right w:w="108" w:type="dxa"/>
          </w:tblCellMar>
        </w:tblPrEx>
        <w:trPr>
          <w:trHeight w:val="20" w:hRule="atLeast"/>
        </w:trPr>
        <w:tc>
          <w:tcPr>
            <w:tcW w:w="508" w:type="pct"/>
          </w:tcPr>
          <w:p w14:paraId="4B0D7F42">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w:r>
              <w:rPr>
                <w:rFonts w:hint="default" w:ascii="Times New Roman" w:hAnsi="Times New Roman" w:cs="Times New Roman"/>
              </w:rPr>
              <w:t>44/56</w:t>
            </w:r>
          </w:p>
        </w:tc>
        <w:tc>
          <w:tcPr>
            <w:tcW w:w="211" w:type="pct"/>
          </w:tcPr>
          <w:p w14:paraId="51B99110">
            <w:pPr>
              <w:tabs>
                <w:tab w:val="center" w:pos="4338"/>
                <w:tab w:val="right" w:pos="8675"/>
              </w:tabs>
              <w:adjustRightInd w:val="0"/>
              <w:snapToGrid w:val="0"/>
              <w:spacing w:line="240" w:lineRule="auto"/>
              <w:ind w:firstLine="0" w:firstLineChars="0"/>
              <w:rPr>
                <w:rFonts w:hint="default" w:ascii="Times New Roman" w:hAnsi="Times New Roman" w:cs="Times New Roman"/>
                <w:szCs w:val="21"/>
              </w:rPr>
            </w:pPr>
            <w:r>
              <w:rPr>
                <w:rFonts w:hint="default" w:ascii="Times New Roman" w:hAnsi="Times New Roman" w:cs="Times New Roman"/>
                <w:szCs w:val="21"/>
              </w:rPr>
              <w:t>—</w:t>
            </w:r>
          </w:p>
        </w:tc>
        <w:tc>
          <w:tcPr>
            <w:tcW w:w="4279" w:type="pct"/>
          </w:tcPr>
          <w:p w14:paraId="1188A011">
            <w:pPr>
              <w:tabs>
                <w:tab w:val="center" w:pos="4338"/>
                <w:tab w:val="right" w:pos="8675"/>
              </w:tabs>
              <w:adjustRightInd w:val="0"/>
              <w:snapToGrid w:val="0"/>
              <w:spacing w:line="240" w:lineRule="auto"/>
              <w:ind w:firstLine="0" w:firstLineChars="0"/>
              <w:rPr>
                <w:rFonts w:hint="default" w:ascii="Times New Roman" w:hAnsi="Times New Roman" w:cs="Times New Roman"/>
              </w:rPr>
            </w:pPr>
            <w:r>
              <w:rPr>
                <w:rFonts w:hint="default" w:ascii="Times New Roman" w:hAnsi="Times New Roman" w:cs="Times New Roman"/>
              </w:rPr>
              <w:t>二氧化碳与氧化钙的相对分子质量之比；</w:t>
            </w:r>
          </w:p>
        </w:tc>
      </w:tr>
      <w:tr w14:paraId="22B5045D">
        <w:tblPrEx>
          <w:tblCellMar>
            <w:top w:w="0" w:type="dxa"/>
            <w:left w:w="108" w:type="dxa"/>
            <w:bottom w:w="0" w:type="dxa"/>
            <w:right w:w="108" w:type="dxa"/>
          </w:tblCellMar>
        </w:tblPrEx>
        <w:trPr>
          <w:trHeight w:val="20" w:hRule="atLeast"/>
        </w:trPr>
        <w:tc>
          <w:tcPr>
            <w:tcW w:w="508" w:type="pct"/>
          </w:tcPr>
          <w:p w14:paraId="38D0B2E6">
            <w:pPr>
              <w:tabs>
                <w:tab w:val="center" w:pos="4338"/>
                <w:tab w:val="right" w:pos="8675"/>
              </w:tabs>
              <w:adjustRightInd w:val="0"/>
              <w:snapToGrid w:val="0"/>
              <w:spacing w:line="240" w:lineRule="auto"/>
              <w:ind w:firstLine="0" w:firstLineChars="0"/>
              <w:jc w:val="right"/>
              <w:rPr>
                <w:rFonts w:hint="default" w:ascii="Times New Roman" w:hAnsi="Times New Roman" w:cs="Times New Roman"/>
                <w:szCs w:val="21"/>
              </w:rPr>
            </w:pPr>
            <w:r>
              <w:rPr>
                <w:rFonts w:hint="default" w:ascii="Times New Roman" w:hAnsi="Times New Roman" w:cs="Times New Roman"/>
              </w:rPr>
              <w:t>44/40</w:t>
            </w:r>
          </w:p>
        </w:tc>
        <w:tc>
          <w:tcPr>
            <w:tcW w:w="211" w:type="pct"/>
          </w:tcPr>
          <w:p w14:paraId="1F2C994A">
            <w:pPr>
              <w:tabs>
                <w:tab w:val="center" w:pos="4338"/>
                <w:tab w:val="right" w:pos="8675"/>
              </w:tabs>
              <w:adjustRightInd w:val="0"/>
              <w:snapToGrid w:val="0"/>
              <w:spacing w:line="240" w:lineRule="auto"/>
              <w:ind w:firstLine="0" w:firstLineChars="0"/>
              <w:rPr>
                <w:rFonts w:hint="default" w:ascii="Times New Roman" w:hAnsi="Times New Roman" w:cs="Times New Roman"/>
                <w:szCs w:val="21"/>
              </w:rPr>
            </w:pPr>
            <w:r>
              <w:rPr>
                <w:rFonts w:hint="default" w:ascii="Times New Roman" w:hAnsi="Times New Roman" w:cs="Times New Roman"/>
                <w:szCs w:val="21"/>
              </w:rPr>
              <w:t>—</w:t>
            </w:r>
          </w:p>
        </w:tc>
        <w:tc>
          <w:tcPr>
            <w:tcW w:w="4279" w:type="pct"/>
          </w:tcPr>
          <w:p w14:paraId="3C2E152B">
            <w:pPr>
              <w:tabs>
                <w:tab w:val="center" w:pos="4338"/>
                <w:tab w:val="right" w:pos="8675"/>
              </w:tabs>
              <w:adjustRightInd w:val="0"/>
              <w:snapToGrid w:val="0"/>
              <w:spacing w:line="240" w:lineRule="auto"/>
              <w:ind w:firstLine="0" w:firstLineChars="0"/>
              <w:rPr>
                <w:rFonts w:hint="default" w:ascii="Times New Roman" w:hAnsi="Times New Roman" w:cs="Times New Roman"/>
              </w:rPr>
            </w:pPr>
            <w:r>
              <w:rPr>
                <w:rFonts w:hint="default" w:ascii="Times New Roman" w:hAnsi="Times New Roman" w:cs="Times New Roman"/>
              </w:rPr>
              <w:t>二氧化碳与氧化镁的相对分子质量之比。</w:t>
            </w:r>
          </w:p>
        </w:tc>
      </w:tr>
    </w:tbl>
    <w:p w14:paraId="18630407">
      <w:pPr>
        <w:pStyle w:val="162"/>
        <w:rPr>
          <w:rFonts w:hint="default" w:ascii="Times New Roman" w:hAnsi="Times New Roman" w:cs="Times New Roman"/>
        </w:rPr>
      </w:pPr>
      <m:oMath>
        <m:sSub>
          <m:sSubPr>
            <m:ctrlPr>
              <w:rPr>
                <w:rFonts w:hint="default" w:ascii="Cambria Math" w:hAnsi="Cambria Math" w:cs="Times New Roman"/>
                <w:iCs/>
              </w:rPr>
            </m:ctrlPr>
          </m:sSubPr>
          <m:e>
            <m:r>
              <m:rPr>
                <m:sty m:val="p"/>
              </m:rPr>
              <w:rPr>
                <w:rFonts w:hint="default" w:ascii="Cambria Math" w:hAnsi="Cambria Math" w:cs="Times New Roman"/>
              </w:rPr>
              <m:t>EF</m:t>
            </m:r>
            <m:ctrlPr>
              <w:rPr>
                <w:rFonts w:hint="default" w:ascii="Cambria Math" w:hAnsi="Cambria Math" w:cs="Times New Roman"/>
                <w:iCs/>
              </w:rPr>
            </m:ctrlPr>
          </m:e>
          <m:sub>
            <m:r>
              <m:rPr>
                <m:sty m:val="p"/>
              </m:rPr>
              <w:rPr>
                <w:rFonts w:hint="default" w:ascii="Cambria Math" w:hAnsi="Cambria Math" w:cs="Times New Roman"/>
              </w:rPr>
              <m:t>a,</m:t>
            </m:r>
            <m:r>
              <m:rPr>
                <m:sty m:val="p"/>
              </m:rPr>
              <w:rPr>
                <w:rFonts w:hint="default" w:ascii="Cambria Math" w:hAnsi="Cambria Math" w:cs="Times New Roman"/>
                <w:lang w:val="en-US" w:eastAsia="zh-CN"/>
              </w:rPr>
              <m:t>j</m:t>
            </m:r>
            <m:ctrlPr>
              <w:rPr>
                <w:rFonts w:hint="default" w:ascii="Cambria Math" w:hAnsi="Cambria Math" w:cs="Times New Roman"/>
                <w:iCs/>
              </w:rPr>
            </m:ctrlPr>
          </m:sub>
        </m:sSub>
        <m:r>
          <m:rPr/>
          <w:rPr>
            <w:rFonts w:hint="default" w:ascii="Cambria Math" w:hAnsi="Cambria Math" w:cs="Times New Roman"/>
            <w:lang w:val="en-US" w:eastAsia="zh-CN"/>
          </w:rPr>
          <m:t>=</m:t>
        </m:r>
        <m:r>
          <m:rPr>
            <m:sty m:val="p"/>
          </m:rPr>
          <w:rPr>
            <w:rFonts w:hint="eastAsia" w:ascii="Cambria Math" w:hAnsi="Cambria Math" w:cs="Times New Roman"/>
            <w:lang w:val="en-US" w:eastAsia="zh-CN"/>
          </w:rPr>
          <m:t>（</m:t>
        </m:r>
        <m:r>
          <m:rPr>
            <m:sty m:val="p"/>
          </m:rPr>
          <w:rPr>
            <w:rFonts w:hint="default" w:ascii="Cambria Math" w:hAnsi="Cambria Math" w:cs="Times New Roman"/>
          </w:rPr>
          <m:t>F</m:t>
        </m:r>
        <m:sSub>
          <m:sSubPr>
            <m:ctrlPr>
              <w:rPr>
                <w:rFonts w:hint="default" w:ascii="Cambria Math" w:hAnsi="Cambria Math" w:cs="Times New Roman"/>
                <w:i w:val="0"/>
                <w:iCs/>
              </w:rPr>
            </m:ctrlPr>
          </m:sSubPr>
          <m:e>
            <m:r>
              <m:rPr>
                <m:sty m:val="p"/>
              </m:rPr>
              <w:rPr>
                <w:rFonts w:hint="default" w:ascii="Cambria Math" w:hAnsi="Cambria Math" w:cs="Times New Roman"/>
              </w:rPr>
              <m:t>R</m:t>
            </m:r>
            <m:ctrlPr>
              <w:rPr>
                <w:rFonts w:hint="default" w:ascii="Cambria Math" w:hAnsi="Cambria Math" w:cs="Times New Roman"/>
                <w:i w:val="0"/>
                <w:iCs/>
              </w:rPr>
            </m:ctrlPr>
          </m:e>
          <m:sub>
            <m:r>
              <m:rPr>
                <m:sty m:val="p"/>
              </m:rPr>
              <w:rPr>
                <w:rFonts w:hint="default" w:ascii="Cambria Math" w:hAnsi="Cambria Math" w:cs="Times New Roman"/>
              </w:rPr>
              <m:t>1</m:t>
            </m:r>
            <m:r>
              <m:rPr>
                <m:sty m:val="p"/>
              </m:rPr>
              <w:rPr>
                <w:rFonts w:hint="default" w:ascii="Cambria Math" w:hAnsi="Cambria Math" w:cs="Times New Roman"/>
                <w:lang w:val="en-US" w:eastAsia="zh-CN"/>
              </w:rPr>
              <m:t>,</m:t>
            </m:r>
            <m:r>
              <m:rPr>
                <m:sty m:val="p"/>
              </m:rPr>
              <w:rPr>
                <w:rFonts w:hint="default" w:ascii="Cambria Math" w:hAnsi="Cambria Math" w:cs="Times New Roman"/>
              </w:rPr>
              <m:t>j</m:t>
            </m:r>
            <m:ctrlPr>
              <w:rPr>
                <w:rFonts w:hint="default" w:ascii="Cambria Math" w:hAnsi="Cambria Math" w:cs="Times New Roman"/>
                <w:i w:val="0"/>
                <w:iCs/>
              </w:rPr>
            </m:ctrlPr>
          </m:sub>
        </m:sSub>
        <m:r>
          <m:rPr>
            <m:sty m:val="p"/>
          </m:rPr>
          <w:rPr>
            <w:rFonts w:hint="default" w:ascii="Cambria Math" w:hAnsi="Cambria Math" w:cs="Times New Roman"/>
          </w:rPr>
          <m:t>×</m:t>
        </m:r>
        <m:f>
          <m:fPr>
            <m:ctrlPr>
              <w:rPr>
                <w:rFonts w:hint="default" w:ascii="Cambria Math" w:hAnsi="Cambria Math" w:cs="Times New Roman"/>
                <w:i w:val="0"/>
                <w:iCs/>
              </w:rPr>
            </m:ctrlPr>
          </m:fPr>
          <m:num>
            <m:r>
              <m:rPr>
                <m:sty m:val="p"/>
              </m:rPr>
              <w:rPr>
                <w:rFonts w:hint="default" w:ascii="Cambria Math" w:hAnsi="Cambria Math" w:cs="Times New Roman"/>
                <w:lang w:val="en-US" w:eastAsia="zh-CN"/>
              </w:rPr>
              <m:t>44</m:t>
            </m:r>
            <m:ctrlPr>
              <w:rPr>
                <w:rFonts w:hint="default" w:ascii="Cambria Math" w:hAnsi="Cambria Math" w:cs="Times New Roman"/>
                <w:i w:val="0"/>
                <w:iCs/>
              </w:rPr>
            </m:ctrlPr>
          </m:num>
          <m:den>
            <m:r>
              <m:rPr>
                <m:sty m:val="p"/>
              </m:rPr>
              <w:rPr>
                <w:rFonts w:hint="default" w:ascii="Cambria Math" w:hAnsi="Cambria Math" w:cs="Times New Roman"/>
                <w:lang w:val="en-US" w:eastAsia="zh-CN"/>
              </w:rPr>
              <m:t>56</m:t>
            </m:r>
            <m:ctrlPr>
              <w:rPr>
                <w:rFonts w:hint="default" w:ascii="Cambria Math" w:hAnsi="Cambria Math" w:cs="Times New Roman"/>
                <w:i w:val="0"/>
                <w:iCs/>
              </w:rPr>
            </m:ctrlPr>
          </m:den>
        </m:f>
        <m:r>
          <m:rPr>
            <m:sty m:val="p"/>
          </m:rPr>
          <w:rPr>
            <w:rFonts w:hint="default" w:ascii="Cambria Math" w:hAnsi="Cambria Math" w:cs="Times New Roman"/>
            <w:lang w:val="en-US" w:eastAsia="zh-CN"/>
          </w:rPr>
          <m:t>+</m:t>
        </m:r>
        <m:r>
          <m:rPr>
            <m:sty m:val="p"/>
          </m:rPr>
          <w:rPr>
            <w:rFonts w:hint="default" w:ascii="Cambria Math" w:hAnsi="Cambria Math" w:cs="Times New Roman"/>
          </w:rPr>
          <m:t>F</m:t>
        </m:r>
        <m:sSub>
          <m:sSubPr>
            <m:ctrlPr>
              <w:rPr>
                <w:rFonts w:hint="default" w:ascii="Cambria Math" w:hAnsi="Cambria Math" w:cs="Times New Roman"/>
                <w:i w:val="0"/>
                <w:iCs/>
              </w:rPr>
            </m:ctrlPr>
          </m:sSubPr>
          <m:e>
            <m:r>
              <m:rPr>
                <m:sty m:val="p"/>
              </m:rPr>
              <w:rPr>
                <w:rFonts w:hint="default" w:ascii="Cambria Math" w:hAnsi="Cambria Math" w:cs="Times New Roman"/>
              </w:rPr>
              <m:t>R</m:t>
            </m:r>
            <m:ctrlPr>
              <w:rPr>
                <w:rFonts w:hint="default" w:ascii="Cambria Math" w:hAnsi="Cambria Math" w:cs="Times New Roman"/>
                <w:i w:val="0"/>
                <w:iCs/>
              </w:rPr>
            </m:ctrlPr>
          </m:e>
          <m:sub>
            <m:r>
              <m:rPr>
                <m:sty m:val="p"/>
              </m:rPr>
              <w:rPr>
                <w:rFonts w:hint="default" w:ascii="Cambria Math" w:hAnsi="Cambria Math" w:cs="Times New Roman"/>
              </w:rPr>
              <m:t>2,j</m:t>
            </m:r>
            <m:ctrlPr>
              <w:rPr>
                <w:rFonts w:hint="default" w:ascii="Cambria Math" w:hAnsi="Cambria Math" w:cs="Times New Roman"/>
                <w:i w:val="0"/>
                <w:iCs/>
              </w:rPr>
            </m:ctrlPr>
          </m:sub>
        </m:sSub>
        <m:r>
          <m:rPr>
            <m:sty m:val="p"/>
          </m:rPr>
          <w:rPr>
            <w:rFonts w:hint="default" w:ascii="Cambria Math" w:hAnsi="Cambria Math" w:cs="Times New Roman"/>
          </w:rPr>
          <m:t>×</m:t>
        </m:r>
        <m:f>
          <m:fPr>
            <m:ctrlPr>
              <w:rPr>
                <w:rFonts w:hint="default" w:ascii="Cambria Math" w:hAnsi="Cambria Math" w:cs="Times New Roman"/>
                <w:i w:val="0"/>
                <w:iCs/>
              </w:rPr>
            </m:ctrlPr>
          </m:fPr>
          <m:num>
            <m:r>
              <m:rPr>
                <m:sty m:val="p"/>
              </m:rPr>
              <w:rPr>
                <w:rFonts w:hint="default" w:ascii="Cambria Math" w:hAnsi="Cambria Math" w:cs="Times New Roman"/>
                <w:lang w:val="en-US" w:eastAsia="zh-CN"/>
              </w:rPr>
              <m:t>44</m:t>
            </m:r>
            <m:ctrlPr>
              <w:rPr>
                <w:rFonts w:hint="default" w:ascii="Cambria Math" w:hAnsi="Cambria Math" w:cs="Times New Roman"/>
                <w:i w:val="0"/>
                <w:iCs/>
              </w:rPr>
            </m:ctrlPr>
          </m:num>
          <m:den>
            <m:r>
              <m:rPr>
                <m:sty m:val="p"/>
              </m:rPr>
              <w:rPr>
                <w:rFonts w:hint="default" w:ascii="Cambria Math" w:hAnsi="Cambria Math" w:cs="Times New Roman"/>
                <w:lang w:val="en-US" w:eastAsia="zh-CN"/>
              </w:rPr>
              <m:t>40</m:t>
            </m:r>
            <m:ctrlPr>
              <w:rPr>
                <w:rFonts w:hint="default" w:ascii="Cambria Math" w:hAnsi="Cambria Math" w:cs="Times New Roman"/>
                <w:i w:val="0"/>
                <w:iCs/>
              </w:rPr>
            </m:ctrlPr>
          </m:den>
        </m:f>
        <m:r>
          <m:rPr>
            <m:sty m:val="p"/>
          </m:rPr>
          <w:rPr>
            <w:rFonts w:hint="eastAsia" w:ascii="Cambria Math" w:hAnsi="Cambria Math" w:cs="Times New Roman"/>
            <w:lang w:eastAsia="zh-CN"/>
          </w:rPr>
          <m:t>）</m:t>
        </m:r>
        <m:r>
          <m:rPr>
            <m:sty m:val="p"/>
          </m:rPr>
          <w:rPr>
            <w:rFonts w:hint="default" w:ascii="Cambria Math" w:hAnsi="Cambria Math" w:cs="Cambria Math"/>
            <w:lang w:eastAsia="zh-CN"/>
          </w:rPr>
          <m:t>×</m:t>
        </m:r>
        <m:r>
          <m:rPr>
            <m:sty m:val="p"/>
          </m:rPr>
          <w:rPr>
            <w:rFonts w:hint="default" w:ascii="Cambria Math" w:hAnsi="Cambria Math" w:cs="Times New Roman"/>
            <w:lang w:val="en-US" w:eastAsia="zh-CN"/>
          </w:rPr>
          <m:t>1</m:t>
        </m:r>
      </m:oMath>
      <w:r>
        <w:rPr>
          <w:rFonts w:hint="eastAsia" w:hAnsi="Cambria Math" w:cs="Times New Roman"/>
          <w:i w:val="0"/>
          <w:iCs/>
          <w:lang w:val="en-US" w:eastAsia="zh-CN"/>
        </w:rPr>
        <w:t>000</w:t>
      </w:r>
      <w:r>
        <w:rPr>
          <w:rFonts w:hint="eastAsia" w:cs="Times New Roman"/>
          <w:i w:val="0"/>
          <w:lang w:val="en-US" w:eastAsia="zh-CN"/>
        </w:rPr>
        <w:t xml:space="preserve">      </w:t>
      </w:r>
      <w:r>
        <w:rPr>
          <w:rFonts w:hint="default" w:ascii="Times New Roman" w:hAnsi="Times New Roman" w:cs="Times New Roman"/>
          <w:i w:val="0"/>
          <w:lang w:val="en-US" w:eastAsia="zh-CN"/>
        </w:rPr>
        <w:t xml:space="preserve"> </w:t>
      </w:r>
      <w:r>
        <w:rPr>
          <w:rFonts w:hint="eastAsia" w:cs="Times New Roman"/>
          <w:i w:val="0"/>
          <w:lang w:val="en-US" w:eastAsia="zh-CN"/>
        </w:rPr>
        <w:t xml:space="preserve">                    </w:t>
      </w:r>
      <w:r>
        <w:rPr>
          <w:rFonts w:hint="default" w:ascii="Times New Roman" w:hAnsi="Times New Roman" w:cs="Times New Roman"/>
        </w:rPr>
        <w:t>（</w:t>
      </w:r>
      <w:r>
        <w:rPr>
          <w:rFonts w:hint="default" w:ascii="Times New Roman" w:hAnsi="Times New Roman" w:cs="Times New Roman"/>
          <w:lang w:val="en-US" w:eastAsia="zh-CN"/>
        </w:rPr>
        <w:t>1</w:t>
      </w:r>
      <w:r>
        <w:rPr>
          <w:rFonts w:hint="eastAsia" w:cs="Times New Roman"/>
          <w:lang w:val="en-US" w:eastAsia="zh-CN"/>
        </w:rPr>
        <w:t>0</w:t>
      </w:r>
      <w:r>
        <w:rPr>
          <w:rFonts w:hint="default" w:ascii="Times New Roman" w:hAnsi="Times New Roman" w:cs="Times New Roman"/>
        </w:rPr>
        <w:t>）</w:t>
      </w:r>
    </w:p>
    <w:p w14:paraId="007EBC3A">
      <w:pPr>
        <w:pStyle w:val="26"/>
        <w:rPr>
          <w:rFonts w:hint="default" w:ascii="Times New Roman" w:hAnsi="Times New Roman" w:cs="Times New Roman"/>
        </w:rPr>
      </w:pPr>
      <w:r>
        <w:rPr>
          <w:rFonts w:hint="default" w:ascii="Times New Roman" w:hAnsi="Times New Roman" w:cs="Times New Roman"/>
        </w:rPr>
        <w:t>式中：</w:t>
      </w:r>
    </w:p>
    <w:tbl>
      <w:tblPr>
        <w:tblStyle w:val="35"/>
        <w:tblW w:w="4997" w:type="pct"/>
        <w:tblInd w:w="0" w:type="dxa"/>
        <w:tblLayout w:type="autofit"/>
        <w:tblCellMar>
          <w:top w:w="0" w:type="dxa"/>
          <w:left w:w="108" w:type="dxa"/>
          <w:bottom w:w="0" w:type="dxa"/>
          <w:right w:w="108" w:type="dxa"/>
        </w:tblCellMar>
      </w:tblPr>
      <w:tblGrid>
        <w:gridCol w:w="987"/>
        <w:gridCol w:w="446"/>
        <w:gridCol w:w="8528"/>
      </w:tblGrid>
      <w:tr w14:paraId="34FF56DF">
        <w:tblPrEx>
          <w:tblCellMar>
            <w:top w:w="0" w:type="dxa"/>
            <w:left w:w="108" w:type="dxa"/>
            <w:bottom w:w="0" w:type="dxa"/>
            <w:right w:w="108" w:type="dxa"/>
          </w:tblCellMar>
        </w:tblPrEx>
        <w:tc>
          <w:tcPr>
            <w:tcW w:w="495" w:type="pct"/>
            <w:vAlign w:val="bottom"/>
          </w:tcPr>
          <w:p w14:paraId="1A8146CC">
            <w:pPr>
              <w:tabs>
                <w:tab w:val="center" w:pos="4338"/>
                <w:tab w:val="right" w:pos="8675"/>
              </w:tabs>
              <w:spacing w:line="276" w:lineRule="auto"/>
              <w:ind w:firstLine="315" w:firstLineChars="150"/>
              <w:jc w:val="right"/>
              <w:rPr>
                <w:rFonts w:hint="default" w:ascii="Times New Roman" w:hAnsi="Times New Roman" w:cs="Times New Roman"/>
                <w:i/>
                <w:iCs/>
                <w:szCs w:val="21"/>
              </w:rPr>
            </w:pPr>
            <m:oMath>
              <m:r>
                <m:rPr/>
                <w:rPr>
                  <w:rFonts w:hint="default" w:ascii="Cambria Math" w:hAnsi="Cambria Math" w:cs="Times New Roman"/>
                </w:rPr>
                <m:t>F</m:t>
              </m:r>
              <m:sSub>
                <m:sSubPr>
                  <m:ctrlPr>
                    <w:rPr>
                      <w:rFonts w:hint="default" w:ascii="Cambria Math" w:hAnsi="Cambria Math" w:cs="Times New Roman"/>
                      <w:i/>
                      <w:iCs/>
                    </w:rPr>
                  </m:ctrlPr>
                </m:sSubPr>
                <m:e>
                  <m:r>
                    <m:rPr/>
                    <w:rPr>
                      <w:rFonts w:hint="default" w:ascii="Cambria Math" w:hAnsi="Cambria Math" w:cs="Times New Roman"/>
                    </w:rPr>
                    <m:t>R</m:t>
                  </m:r>
                  <m:ctrlPr>
                    <w:rPr>
                      <w:rFonts w:hint="default" w:ascii="Cambria Math" w:hAnsi="Cambria Math" w:cs="Times New Roman"/>
                      <w:i/>
                      <w:iCs/>
                    </w:rPr>
                  </m:ctrlPr>
                </m:e>
                <m:sub>
                  <m:r>
                    <m:rPr/>
                    <w:rPr>
                      <w:rFonts w:hint="default" w:ascii="Cambria Math" w:hAnsi="Cambria Math" w:cs="Times New Roman"/>
                    </w:rPr>
                    <m:t>1,j</m:t>
                  </m:r>
                  <m:ctrlPr>
                    <w:rPr>
                      <w:rFonts w:hint="default" w:ascii="Cambria Math" w:hAnsi="Cambria Math" w:cs="Times New Roman"/>
                      <w:i/>
                      <w:iCs/>
                    </w:rPr>
                  </m:ctrlPr>
                </m:sub>
              </m:sSub>
            </m:oMath>
            <w:r>
              <w:rPr>
                <w:rFonts w:hint="default" w:ascii="Times New Roman" w:hAnsi="Times New Roman" w:cs="Times New Roman"/>
                <w:i/>
                <w:iCs/>
              </w:rPr>
              <w:t xml:space="preserve"> </w:t>
            </w:r>
          </w:p>
        </w:tc>
        <w:tc>
          <w:tcPr>
            <w:tcW w:w="224" w:type="pct"/>
          </w:tcPr>
          <w:p w14:paraId="13E1B17F">
            <w:pPr>
              <w:tabs>
                <w:tab w:val="center" w:pos="4338"/>
                <w:tab w:val="right" w:pos="8675"/>
              </w:tabs>
              <w:spacing w:line="276" w:lineRule="auto"/>
              <w:rPr>
                <w:rFonts w:hint="default" w:ascii="Times New Roman" w:hAnsi="Times New Roman" w:cs="Times New Roman"/>
                <w:szCs w:val="21"/>
              </w:rPr>
            </w:pPr>
            <w:r>
              <w:rPr>
                <w:rFonts w:hint="default" w:ascii="Times New Roman" w:hAnsi="Times New Roman" w:cs="Times New Roman"/>
                <w:szCs w:val="21"/>
              </w:rPr>
              <w:t>—</w:t>
            </w:r>
          </w:p>
        </w:tc>
        <w:tc>
          <w:tcPr>
            <w:tcW w:w="4279" w:type="pct"/>
          </w:tcPr>
          <w:p w14:paraId="2A596859">
            <w:pPr>
              <w:tabs>
                <w:tab w:val="center" w:pos="4338"/>
                <w:tab w:val="right" w:pos="8675"/>
              </w:tabs>
              <w:spacing w:line="276" w:lineRule="auto"/>
              <w:rPr>
                <w:rFonts w:hint="default" w:ascii="Times New Roman" w:hAnsi="Times New Roman" w:eastAsia="宋体" w:cs="Times New Roman"/>
                <w:lang w:eastAsia="zh-CN"/>
              </w:rPr>
            </w:pPr>
            <w:r>
              <w:rPr>
                <w:rFonts w:hint="default" w:ascii="Times New Roman" w:hAnsi="Times New Roman" w:cs="Times New Roman"/>
                <w:position w:val="0"/>
              </w:rPr>
              <w:t>第</w:t>
            </w:r>
            <w:r>
              <w:rPr>
                <w:rFonts w:hint="default" w:ascii="Times New Roman" w:hAnsi="Times New Roman" w:cs="Times New Roman"/>
                <w:i/>
                <w:iCs/>
                <w:position w:val="0"/>
                <w:lang w:val="en-US" w:eastAsia="zh-CN"/>
              </w:rPr>
              <w:t>j</w:t>
            </w:r>
            <w:r>
              <w:rPr>
                <w:rFonts w:hint="default" w:ascii="Times New Roman" w:hAnsi="Times New Roman" w:cs="Times New Roman"/>
                <w:position w:val="0"/>
              </w:rPr>
              <w:t>种</w:t>
            </w:r>
            <w:bookmarkStart w:id="38" w:name="OLE_LINK6"/>
            <w:r>
              <w:rPr>
                <w:rFonts w:hint="default" w:ascii="Times New Roman" w:hAnsi="Times New Roman" w:cs="Times New Roman"/>
                <w:position w:val="0"/>
              </w:rPr>
              <w:t>非碳酸盐替代原料中氧化钙</w:t>
            </w:r>
            <w:bookmarkEnd w:id="38"/>
            <w:r>
              <w:rPr>
                <w:rFonts w:hint="default" w:ascii="Times New Roman" w:hAnsi="Times New Roman" w:cs="Times New Roman"/>
                <w:position w:val="0"/>
              </w:rPr>
              <w:t>的含量（%）</w:t>
            </w:r>
            <w:r>
              <w:rPr>
                <w:rFonts w:hint="default" w:ascii="Times New Roman" w:hAnsi="Times New Roman" w:cs="Times New Roman"/>
                <w:position w:val="0"/>
                <w:lang w:eastAsia="zh-CN"/>
              </w:rPr>
              <w:t>；</w:t>
            </w:r>
          </w:p>
        </w:tc>
      </w:tr>
      <w:tr w14:paraId="044DEC90">
        <w:tblPrEx>
          <w:tblCellMar>
            <w:top w:w="0" w:type="dxa"/>
            <w:left w:w="108" w:type="dxa"/>
            <w:bottom w:w="0" w:type="dxa"/>
            <w:right w:w="108" w:type="dxa"/>
          </w:tblCellMar>
        </w:tblPrEx>
        <w:tc>
          <w:tcPr>
            <w:tcW w:w="495" w:type="pct"/>
            <w:vAlign w:val="bottom"/>
          </w:tcPr>
          <w:p w14:paraId="2A1EA24A">
            <w:pPr>
              <w:keepNext w:val="0"/>
              <w:keepLines w:val="0"/>
              <w:pageBreakBefore w:val="0"/>
              <w:widowControl w:val="0"/>
              <w:tabs>
                <w:tab w:val="center" w:pos="4338"/>
                <w:tab w:val="right" w:pos="8675"/>
              </w:tabs>
              <w:kinsoku/>
              <w:wordWrap/>
              <w:overflowPunct/>
              <w:topLinePunct w:val="0"/>
              <w:autoSpaceDE/>
              <w:autoSpaceDN/>
              <w:bidi w:val="0"/>
              <w:adjustRightInd/>
              <w:snapToGrid/>
              <w:spacing w:line="276" w:lineRule="auto"/>
              <w:ind w:firstLine="0" w:firstLineChars="0"/>
              <w:jc w:val="right"/>
              <w:textAlignment w:val="auto"/>
              <w:rPr>
                <w:rFonts w:hint="default" w:ascii="Cambria Math" w:hAnsi="Cambria Math" w:cs="Times New Roman"/>
                <w:i/>
                <w:oMath/>
              </w:rPr>
            </w:pPr>
            <m:oMathPara>
              <m:oMathParaPr>
                <m:jc m:val="right"/>
              </m:oMathParaPr>
              <m:oMath>
                <m:r>
                  <m:rPr/>
                  <w:rPr>
                    <w:rFonts w:hint="default" w:ascii="Cambria Math" w:hAnsi="Cambria Math" w:cs="Times New Roman"/>
                  </w:rPr>
                  <m:t>F</m:t>
                </m:r>
                <m:sSub>
                  <m:sSubPr>
                    <m:ctrlPr>
                      <w:rPr>
                        <w:rFonts w:hint="default" w:ascii="Cambria Math" w:hAnsi="Cambria Math" w:cs="Times New Roman"/>
                        <w:i/>
                        <w:iCs/>
                      </w:rPr>
                    </m:ctrlPr>
                  </m:sSubPr>
                  <m:e>
                    <m:r>
                      <m:rPr/>
                      <w:rPr>
                        <w:rFonts w:hint="default" w:ascii="Cambria Math" w:hAnsi="Cambria Math" w:cs="Times New Roman"/>
                      </w:rPr>
                      <m:t>R</m:t>
                    </m:r>
                    <m:ctrlPr>
                      <w:rPr>
                        <w:rFonts w:hint="default" w:ascii="Cambria Math" w:hAnsi="Cambria Math" w:cs="Times New Roman"/>
                        <w:i/>
                        <w:iCs/>
                      </w:rPr>
                    </m:ctrlPr>
                  </m:e>
                  <m:sub>
                    <m:r>
                      <m:rPr/>
                      <w:rPr>
                        <w:rFonts w:hint="default" w:ascii="Cambria Math" w:hAnsi="Cambria Math" w:cs="Times New Roman"/>
                      </w:rPr>
                      <m:t>2,j</m:t>
                    </m:r>
                    <m:ctrlPr>
                      <w:rPr>
                        <w:rFonts w:hint="default" w:ascii="Cambria Math" w:hAnsi="Cambria Math" w:cs="Times New Roman"/>
                        <w:i/>
                        <w:iCs/>
                      </w:rPr>
                    </m:ctrlPr>
                  </m:sub>
                </m:sSub>
              </m:oMath>
            </m:oMathPara>
          </w:p>
        </w:tc>
        <w:tc>
          <w:tcPr>
            <w:tcW w:w="224" w:type="pct"/>
            <w:vAlign w:val="top"/>
          </w:tcPr>
          <w:p w14:paraId="37059456">
            <w:pPr>
              <w:tabs>
                <w:tab w:val="center" w:pos="4338"/>
                <w:tab w:val="right" w:pos="8675"/>
              </w:tabs>
              <w:spacing w:line="276" w:lineRule="auto"/>
              <w:rPr>
                <w:rFonts w:hint="default" w:ascii="Times New Roman" w:hAnsi="Times New Roman" w:cs="Times New Roman"/>
                <w:szCs w:val="21"/>
              </w:rPr>
            </w:pPr>
            <w:r>
              <w:rPr>
                <w:rFonts w:hint="default" w:ascii="Times New Roman" w:hAnsi="Times New Roman" w:cs="Times New Roman"/>
                <w:szCs w:val="21"/>
              </w:rPr>
              <w:t>—</w:t>
            </w:r>
          </w:p>
        </w:tc>
        <w:tc>
          <w:tcPr>
            <w:tcW w:w="4279" w:type="pct"/>
            <w:vAlign w:val="top"/>
          </w:tcPr>
          <w:p w14:paraId="2BF2205A">
            <w:pPr>
              <w:tabs>
                <w:tab w:val="center" w:pos="4338"/>
                <w:tab w:val="right" w:pos="8675"/>
              </w:tabs>
              <w:spacing w:line="276" w:lineRule="auto"/>
              <w:rPr>
                <w:rFonts w:hint="default" w:ascii="Times New Roman" w:hAnsi="Times New Roman" w:cs="Times New Roman"/>
              </w:rPr>
            </w:pPr>
            <w:r>
              <w:rPr>
                <w:rFonts w:hint="default" w:ascii="Times New Roman" w:hAnsi="Times New Roman" w:cs="Times New Roman"/>
                <w:position w:val="0"/>
              </w:rPr>
              <w:t>第</w:t>
            </w:r>
            <w:r>
              <w:rPr>
                <w:rFonts w:hint="default" w:ascii="Times New Roman" w:hAnsi="Times New Roman" w:cs="Times New Roman"/>
                <w:i/>
                <w:iCs/>
                <w:position w:val="0"/>
                <w:lang w:val="en-US" w:eastAsia="zh-CN"/>
              </w:rPr>
              <w:t>j</w:t>
            </w:r>
            <w:r>
              <w:rPr>
                <w:rFonts w:hint="default" w:ascii="Times New Roman" w:hAnsi="Times New Roman" w:cs="Times New Roman"/>
                <w:position w:val="0"/>
              </w:rPr>
              <w:t>种非碳酸盐替代原料中氧化镁的含量（%）。</w:t>
            </w:r>
          </w:p>
        </w:tc>
      </w:tr>
    </w:tbl>
    <w:p w14:paraId="2946CC0B">
      <w:pPr>
        <w:pStyle w:val="26"/>
        <w:spacing w:line="360" w:lineRule="auto"/>
        <w:jc w:val="right"/>
        <w:rPr>
          <w:rFonts w:hint="default" w:ascii="Times New Roman" w:hAnsi="Times New Roman" w:cs="Times New Roman"/>
          <w:szCs w:val="21"/>
        </w:rPr>
      </w:pPr>
      <m:oMath>
        <m:sSub>
          <m:sSubPr>
            <m:ctrlPr>
              <w:rPr>
                <w:rFonts w:hint="default" w:ascii="Cambria Math" w:hAnsi="Cambria Math" w:cs="Times New Roman"/>
                <w:i/>
                <w:szCs w:val="21"/>
              </w:rPr>
            </m:ctrlPr>
          </m:sSubPr>
          <m:e>
            <m:r>
              <m:rPr/>
              <w:rPr>
                <w:rFonts w:hint="default" w:ascii="Cambria Math" w:hAnsi="Cambria Math" w:cs="Times New Roman"/>
                <w:szCs w:val="21"/>
              </w:rPr>
              <m:t>E</m:t>
            </m:r>
            <m:ctrlPr>
              <w:rPr>
                <w:rFonts w:hint="default" w:ascii="Cambria Math" w:hAnsi="Cambria Math" w:cs="Times New Roman"/>
                <w:i/>
                <w:szCs w:val="21"/>
              </w:rPr>
            </m:ctrlPr>
          </m:e>
          <m:sub>
            <m:r>
              <m:rPr>
                <m:sty m:val="p"/>
              </m:rPr>
              <w:rPr>
                <w:rFonts w:hint="default" w:ascii="Cambria Math" w:hAnsi="Cambria Math" w:cs="Times New Roman"/>
                <w:szCs w:val="21"/>
                <w:lang w:val="en-US" w:eastAsia="zh-CN"/>
              </w:rPr>
              <m:t>过程</m:t>
            </m:r>
            <m:r>
              <m:rPr/>
              <w:rPr>
                <w:rFonts w:hint="default" w:ascii="Cambria Math" w:hAnsi="Cambria Math" w:cs="Times New Roman"/>
                <w:szCs w:val="21"/>
                <w:lang w:val="en-US" w:eastAsia="zh-CN"/>
              </w:rPr>
              <m:t>2</m:t>
            </m:r>
            <m:ctrlPr>
              <w:rPr>
                <w:rFonts w:hint="default" w:ascii="Cambria Math" w:hAnsi="Cambria Math" w:cs="Times New Roman"/>
                <w:i/>
                <w:szCs w:val="21"/>
              </w:rPr>
            </m:ctrlPr>
          </m:sub>
        </m:sSub>
        <m:r>
          <m:rPr/>
          <w:rPr>
            <w:rFonts w:hint="default" w:ascii="Cambria Math" w:hAnsi="Cambria Math" w:cs="Times New Roman"/>
            <w:szCs w:val="21"/>
          </w:rPr>
          <m:t>=</m:t>
        </m:r>
        <m:r>
          <m:rPr/>
          <w:rPr>
            <w:rFonts w:hint="eastAsia" w:ascii="Cambria Math" w:hAnsi="Cambria Math" w:cs="Times New Roman"/>
            <w:szCs w:val="21"/>
            <w:lang w:eastAsia="zh-CN"/>
          </w:rPr>
          <m:t>（</m:t>
        </m:r>
        <m:r>
          <m:rPr/>
          <w:rPr>
            <w:rFonts w:hint="default" w:ascii="Cambria Math" w:hAnsi="Cambria Math" w:cs="Times New Roman"/>
            <w:szCs w:val="21"/>
            <w:lang w:val="en-US" w:eastAsia="zh-CN"/>
          </w:rPr>
          <m:t>Q×</m:t>
        </m:r>
        <m:sSub>
          <m:sSubPr>
            <m:ctrlPr>
              <w:rPr>
                <w:rFonts w:hint="default" w:ascii="Cambria Math" w:hAnsi="Cambria Math" w:cs="Times New Roman"/>
                <w:i/>
                <w:szCs w:val="21"/>
                <w:lang w:val="en-US" w:eastAsia="zh-CN"/>
              </w:rPr>
            </m:ctrlPr>
          </m:sSubPr>
          <m:e>
            <m:r>
              <m:rPr/>
              <w:rPr>
                <w:rFonts w:hint="default" w:ascii="Cambria Math" w:hAnsi="Cambria Math" w:cs="Times New Roman"/>
                <w:szCs w:val="21"/>
                <w:lang w:val="en-US" w:eastAsia="zh-CN"/>
              </w:rPr>
              <m:t>FR</m:t>
            </m:r>
            <m:ctrlPr>
              <w:rPr>
                <w:rFonts w:hint="default" w:ascii="Cambria Math" w:hAnsi="Cambria Math" w:cs="Times New Roman"/>
                <w:i/>
                <w:szCs w:val="21"/>
                <w:lang w:val="en-US" w:eastAsia="zh-CN"/>
              </w:rPr>
            </m:ctrlPr>
          </m:e>
          <m:sub>
            <m:r>
              <m:rPr/>
              <w:rPr>
                <w:rFonts w:hint="default" w:ascii="Cambria Math" w:hAnsi="Cambria Math" w:cs="Times New Roman"/>
                <w:szCs w:val="21"/>
                <w:lang w:val="en-US" w:eastAsia="zh-CN"/>
              </w:rPr>
              <m:t>0</m:t>
            </m:r>
            <m:ctrlPr>
              <w:rPr>
                <w:rFonts w:hint="default" w:ascii="Cambria Math" w:hAnsi="Cambria Math" w:cs="Times New Roman"/>
                <w:i/>
                <w:szCs w:val="21"/>
                <w:lang w:val="en-US" w:eastAsia="zh-CN"/>
              </w:rPr>
            </m:ctrlPr>
          </m:sub>
        </m:sSub>
        <m:r>
          <m:rPr/>
          <w:rPr>
            <w:rFonts w:hint="default" w:ascii="Cambria Math" w:hAnsi="Cambria Math" w:cs="Times New Roman"/>
            <w:szCs w:val="21"/>
            <w:lang w:val="en-US" w:eastAsia="zh-CN"/>
          </w:rPr>
          <m:t>×</m:t>
        </m:r>
        <m:f>
          <m:fPr>
            <m:ctrlPr>
              <w:rPr>
                <w:rFonts w:hint="default" w:ascii="Cambria Math" w:hAnsi="Cambria Math" w:cs="Times New Roman"/>
                <w:i/>
                <w:szCs w:val="21"/>
                <w:lang w:val="en-US" w:eastAsia="zh-CN"/>
              </w:rPr>
            </m:ctrlPr>
          </m:fPr>
          <m:num>
            <m:r>
              <m:rPr/>
              <w:rPr>
                <w:rFonts w:hint="default" w:ascii="Cambria Math" w:hAnsi="Cambria Math" w:cs="Times New Roman"/>
                <w:szCs w:val="21"/>
                <w:lang w:val="en-US" w:eastAsia="zh-CN"/>
              </w:rPr>
              <m:t>44</m:t>
            </m:r>
            <m:ctrlPr>
              <w:rPr>
                <w:rFonts w:hint="default" w:ascii="Cambria Math" w:hAnsi="Cambria Math" w:cs="Times New Roman"/>
                <w:i/>
                <w:szCs w:val="21"/>
                <w:lang w:val="en-US" w:eastAsia="zh-CN"/>
              </w:rPr>
            </m:ctrlPr>
          </m:num>
          <m:den>
            <m:r>
              <m:rPr/>
              <w:rPr>
                <w:rFonts w:hint="default" w:ascii="Cambria Math" w:hAnsi="Cambria Math" w:cs="Times New Roman"/>
                <w:szCs w:val="21"/>
                <w:lang w:val="en-US" w:eastAsia="zh-CN"/>
              </w:rPr>
              <m:t>12</m:t>
            </m:r>
            <m:ctrlPr>
              <w:rPr>
                <w:rFonts w:hint="default" w:ascii="Cambria Math" w:hAnsi="Cambria Math" w:cs="Times New Roman"/>
                <w:i/>
                <w:szCs w:val="21"/>
                <w:lang w:val="en-US" w:eastAsia="zh-CN"/>
              </w:rPr>
            </m:ctrlPr>
          </m:den>
        </m:f>
      </m:oMath>
      <w:r>
        <w:rPr>
          <w:rFonts w:hint="eastAsia" w:hAnsi="Cambria Math" w:cs="Times New Roman"/>
          <w:i w:val="0"/>
          <w:szCs w:val="21"/>
          <w:lang w:val="en-US" w:eastAsia="zh-CN"/>
        </w:rPr>
        <w:t>）×1000</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 xml:space="preserve">  </w:t>
      </w:r>
      <w:r>
        <w:rPr>
          <w:rFonts w:hint="eastAsia" w:ascii="Times New Roman" w:cs="Times New Roman"/>
          <w:szCs w:val="21"/>
          <w:lang w:val="en-US" w:eastAsia="zh-CN"/>
        </w:rPr>
        <w:t xml:space="preserve">       </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            （</w:t>
      </w:r>
      <w:r>
        <w:rPr>
          <w:rFonts w:hint="default" w:ascii="Times New Roman" w:hAnsi="Times New Roman" w:cs="Times New Roman"/>
          <w:szCs w:val="21"/>
          <w:lang w:val="en-US" w:eastAsia="zh-CN"/>
        </w:rPr>
        <w:t>1</w:t>
      </w:r>
      <w:r>
        <w:rPr>
          <w:rFonts w:hint="eastAsia" w:ascii="Times New Roman" w:cs="Times New Roman"/>
          <w:szCs w:val="21"/>
          <w:lang w:val="en-US" w:eastAsia="zh-CN"/>
        </w:rPr>
        <w:t>1</w:t>
      </w:r>
      <w:r>
        <w:rPr>
          <w:rFonts w:hint="default" w:ascii="Times New Roman" w:hAnsi="Times New Roman" w:cs="Times New Roman"/>
          <w:szCs w:val="21"/>
        </w:rPr>
        <w:t>）</w:t>
      </w:r>
    </w:p>
    <w:p w14:paraId="1A4E9614">
      <w:pPr>
        <w:pStyle w:val="26"/>
        <w:rPr>
          <w:rFonts w:hint="default" w:ascii="Times New Roman" w:hAnsi="Times New Roman" w:cs="Times New Roman"/>
        </w:rPr>
      </w:pPr>
      <w:r>
        <w:rPr>
          <w:rFonts w:hint="default" w:ascii="Times New Roman" w:hAnsi="Times New Roman" w:cs="Times New Roman"/>
        </w:rPr>
        <w:t>式中：</w:t>
      </w:r>
    </w:p>
    <w:tbl>
      <w:tblPr>
        <w:tblStyle w:val="36"/>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0"/>
        <w:gridCol w:w="439"/>
        <w:gridCol w:w="8535"/>
      </w:tblGrid>
      <w:tr w14:paraId="0543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510" w:type="dxa"/>
            <w:vAlign w:val="center"/>
          </w:tcPr>
          <w:p w14:paraId="3BFF4CCC">
            <w:pPr>
              <w:pStyle w:val="26"/>
              <w:spacing w:line="360" w:lineRule="auto"/>
              <w:ind w:left="0" w:leftChars="0" w:firstLine="0" w:firstLineChars="0"/>
              <w:jc w:val="left"/>
              <w:rPr>
                <w:rFonts w:hint="default" w:ascii="Times New Roman" w:hAnsi="Times New Roman" w:eastAsia="宋体" w:cs="Times New Roman"/>
                <w:szCs w:val="21"/>
                <w:vertAlign w:val="baseline"/>
                <w:lang w:val="en-US" w:eastAsia="zh-CN"/>
              </w:rPr>
            </w:pPr>
            <w:r>
              <w:rPr>
                <w:rFonts w:hint="default" w:ascii="Times New Roman" w:hAnsi="Times New Roman" w:cs="Times New Roman"/>
                <w:i/>
                <w:iCs/>
                <w:szCs w:val="21"/>
                <w:vertAlign w:val="baseline"/>
                <w:lang w:val="en-US" w:eastAsia="zh-CN"/>
              </w:rPr>
              <w:t>Q</w:t>
            </w:r>
          </w:p>
        </w:tc>
        <w:tc>
          <w:tcPr>
            <w:tcW w:w="439" w:type="dxa"/>
            <w:vAlign w:val="center"/>
          </w:tcPr>
          <w:p w14:paraId="1777849F">
            <w:pPr>
              <w:pStyle w:val="26"/>
              <w:spacing w:line="360" w:lineRule="auto"/>
              <w:ind w:left="0" w:leftChars="0" w:firstLine="0" w:firstLineChars="0"/>
              <w:jc w:val="center"/>
              <w:rPr>
                <w:rFonts w:hint="default" w:ascii="Times New Roman" w:hAnsi="Times New Roman" w:cs="Times New Roman"/>
                <w:szCs w:val="21"/>
                <w:vertAlign w:val="baseline"/>
              </w:rPr>
            </w:pPr>
            <w:r>
              <w:rPr>
                <w:rFonts w:hint="default" w:ascii="Times New Roman" w:hAnsi="Times New Roman" w:cs="Times New Roman"/>
                <w:szCs w:val="21"/>
              </w:rPr>
              <w:t>—</w:t>
            </w:r>
          </w:p>
        </w:tc>
        <w:tc>
          <w:tcPr>
            <w:tcW w:w="8535" w:type="dxa"/>
            <w:vAlign w:val="center"/>
          </w:tcPr>
          <w:p w14:paraId="44DF914F">
            <w:pPr>
              <w:pStyle w:val="26"/>
              <w:spacing w:line="360" w:lineRule="auto"/>
              <w:ind w:left="0" w:leftChars="0" w:firstLine="0" w:firstLineChars="0"/>
              <w:jc w:val="both"/>
              <w:rPr>
                <w:rFonts w:hint="default" w:ascii="Times New Roman" w:hAnsi="Times New Roman" w:eastAsia="宋体" w:cs="Times New Roman"/>
                <w:szCs w:val="21"/>
                <w:vertAlign w:val="baseline"/>
                <w:lang w:eastAsia="zh-CN"/>
              </w:rPr>
            </w:pPr>
            <w:r>
              <w:rPr>
                <w:rFonts w:hint="default" w:ascii="Times New Roman" w:hAnsi="Times New Roman" w:cs="Times New Roman"/>
                <w:szCs w:val="21"/>
              </w:rPr>
              <w:t>生料</w:t>
            </w:r>
            <w:r>
              <w:rPr>
                <w:rFonts w:hint="eastAsia" w:ascii="Times New Roman" w:cs="Times New Roman"/>
                <w:szCs w:val="21"/>
                <w:lang w:val="en-US" w:eastAsia="zh-CN"/>
              </w:rPr>
              <w:t>消耗量</w:t>
            </w:r>
            <w:r>
              <w:rPr>
                <w:rFonts w:hint="default" w:ascii="Times New Roman" w:hAnsi="Times New Roman" w:cs="Times New Roman"/>
                <w:szCs w:val="21"/>
              </w:rPr>
              <w:t>，单位为吨(t)</w:t>
            </w:r>
            <w:r>
              <w:rPr>
                <w:rFonts w:hint="default" w:ascii="Times New Roman" w:hAnsi="Times New Roman" w:cs="Times New Roman"/>
                <w:szCs w:val="21"/>
                <w:lang w:eastAsia="zh-CN"/>
              </w:rPr>
              <w:t>；</w:t>
            </w:r>
          </w:p>
        </w:tc>
      </w:tr>
      <w:tr w14:paraId="20779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510" w:type="dxa"/>
            <w:vAlign w:val="top"/>
          </w:tcPr>
          <w:p w14:paraId="26F6ED9E">
            <w:pPr>
              <w:pStyle w:val="26"/>
              <w:spacing w:line="360" w:lineRule="auto"/>
              <w:ind w:left="0" w:leftChars="0" w:firstLine="0" w:firstLineChars="0"/>
              <w:jc w:val="right"/>
              <w:rPr>
                <w:rFonts w:hint="default" w:ascii="Times New Roman" w:hAnsi="Times New Roman" w:cs="Times New Roman"/>
                <w:szCs w:val="21"/>
                <w:vertAlign w:val="baseline"/>
              </w:rPr>
            </w:pPr>
            <m:oMathPara>
              <m:oMathParaPr>
                <m:jc m:val="left"/>
              </m:oMathParaPr>
              <m:oMath>
                <m:sSub>
                  <m:sSubPr>
                    <m:ctrlPr>
                      <w:rPr>
                        <w:rFonts w:hint="default" w:ascii="Cambria Math" w:hAnsi="Cambria Math" w:cs="Times New Roman"/>
                        <w:i/>
                        <w:szCs w:val="21"/>
                        <w:lang w:val="en-US" w:eastAsia="zh-CN"/>
                      </w:rPr>
                    </m:ctrlPr>
                  </m:sSubPr>
                  <m:e>
                    <m:r>
                      <m:rPr/>
                      <w:rPr>
                        <w:rFonts w:hint="default" w:ascii="Cambria Math" w:hAnsi="Cambria Math" w:cs="Times New Roman"/>
                        <w:szCs w:val="21"/>
                        <w:lang w:val="en-US" w:eastAsia="zh-CN"/>
                      </w:rPr>
                      <m:t>FR</m:t>
                    </m:r>
                    <m:ctrlPr>
                      <w:rPr>
                        <w:rFonts w:hint="default" w:ascii="Cambria Math" w:hAnsi="Cambria Math" w:cs="Times New Roman"/>
                        <w:i/>
                        <w:szCs w:val="21"/>
                        <w:lang w:val="en-US" w:eastAsia="zh-CN"/>
                      </w:rPr>
                    </m:ctrlPr>
                  </m:e>
                  <m:sub>
                    <m:r>
                      <m:rPr/>
                      <w:rPr>
                        <w:rFonts w:hint="default" w:ascii="Cambria Math" w:hAnsi="Cambria Math" w:cs="Times New Roman"/>
                        <w:szCs w:val="21"/>
                        <w:lang w:val="en-US" w:eastAsia="zh-CN"/>
                      </w:rPr>
                      <m:t>0</m:t>
                    </m:r>
                    <m:ctrlPr>
                      <w:rPr>
                        <w:rFonts w:hint="default" w:ascii="Cambria Math" w:hAnsi="Cambria Math" w:cs="Times New Roman"/>
                        <w:i/>
                        <w:szCs w:val="21"/>
                        <w:lang w:val="en-US" w:eastAsia="zh-CN"/>
                      </w:rPr>
                    </m:ctrlPr>
                  </m:sub>
                </m:sSub>
              </m:oMath>
            </m:oMathPara>
          </w:p>
        </w:tc>
        <w:tc>
          <w:tcPr>
            <w:tcW w:w="439" w:type="dxa"/>
            <w:vAlign w:val="top"/>
          </w:tcPr>
          <w:p w14:paraId="22D4FDC8">
            <w:pPr>
              <w:pStyle w:val="26"/>
              <w:spacing w:line="360" w:lineRule="auto"/>
              <w:ind w:left="0" w:leftChars="0" w:firstLine="0" w:firstLineChars="0"/>
              <w:jc w:val="center"/>
              <w:rPr>
                <w:rFonts w:hint="default" w:ascii="Times New Roman" w:hAnsi="Times New Roman" w:cs="Times New Roman"/>
                <w:szCs w:val="21"/>
                <w:vertAlign w:val="baseline"/>
              </w:rPr>
            </w:pPr>
            <w:r>
              <w:rPr>
                <w:rFonts w:hint="default" w:ascii="Times New Roman" w:hAnsi="Times New Roman" w:cs="Times New Roman"/>
                <w:szCs w:val="21"/>
              </w:rPr>
              <w:t>—</w:t>
            </w:r>
          </w:p>
        </w:tc>
        <w:tc>
          <w:tcPr>
            <w:tcW w:w="8535" w:type="dxa"/>
            <w:vAlign w:val="center"/>
          </w:tcPr>
          <w:p w14:paraId="029A1CD9">
            <w:pPr>
              <w:pStyle w:val="26"/>
              <w:snapToGrid w:val="0"/>
              <w:spacing w:line="240" w:lineRule="auto"/>
              <w:ind w:left="0" w:leftChars="0" w:firstLine="0" w:firstLineChars="0"/>
              <w:jc w:val="both"/>
              <w:rPr>
                <w:rFonts w:hint="default" w:ascii="Times New Roman" w:hAnsi="Times New Roman" w:eastAsia="宋体" w:cs="Times New Roman"/>
                <w:szCs w:val="21"/>
                <w:vertAlign w:val="baseline"/>
                <w:lang w:val="en-US" w:eastAsia="zh-CN"/>
              </w:rPr>
            </w:pPr>
            <w:r>
              <w:rPr>
                <w:rFonts w:hint="default" w:ascii="Times New Roman" w:hAnsi="Times New Roman" w:cs="Times New Roman"/>
                <w:szCs w:val="21"/>
              </w:rPr>
              <w:t>生料中非燃料碳含量，单位为%</w:t>
            </w:r>
            <w:r>
              <w:rPr>
                <w:rFonts w:hint="default" w:ascii="Times New Roman" w:hAnsi="Times New Roman" w:cs="Times New Roman"/>
                <w:szCs w:val="21"/>
                <w:lang w:eastAsia="zh-CN"/>
              </w:rPr>
              <w:t>；</w:t>
            </w:r>
            <w:r>
              <w:rPr>
                <w:rFonts w:hint="default" w:ascii="Times New Roman" w:hAnsi="Times New Roman" w:eastAsia="宋体" w:cs="Times New Roman"/>
                <w:szCs w:val="18"/>
                <w:lang w:val="en-US" w:eastAsia="zh-CN"/>
              </w:rPr>
              <w:t>缺少测量数据时，若生料采用煤矸石、高碳粉煤灰等配料时取0.3%，否则取0.1%。</w:t>
            </w:r>
          </w:p>
        </w:tc>
      </w:tr>
      <w:bookmarkEnd w:id="30"/>
    </w:tbl>
    <w:p w14:paraId="25E93AF9">
      <w:pPr>
        <w:pStyle w:val="46"/>
        <w:numPr>
          <w:ilvl w:val="1"/>
          <w:numId w:val="10"/>
        </w:numPr>
        <w:spacing w:before="156" w:after="156" w:line="276" w:lineRule="auto"/>
        <w:outlineLvl w:val="1"/>
        <w:rPr>
          <w:rFonts w:ascii="Times New Roman"/>
        </w:rPr>
      </w:pPr>
      <w:r>
        <w:rPr>
          <w:rFonts w:ascii="Times New Roman"/>
        </w:rPr>
        <w:t>附加环境信息</w:t>
      </w:r>
    </w:p>
    <w:p w14:paraId="5BD554F0">
      <w:pPr>
        <w:pStyle w:val="26"/>
        <w:spacing w:line="276" w:lineRule="auto"/>
        <w:rPr>
          <w:rFonts w:ascii="Times New Roman"/>
        </w:rPr>
      </w:pPr>
      <w:r>
        <w:rPr>
          <w:rFonts w:ascii="Times New Roman" w:eastAsia="宋体"/>
        </w:rPr>
        <w:t>除本文件7.1中涉及的产品碳足迹量化结果外，其他相关的重要信息，宜在附加环境信息中描述，</w:t>
      </w:r>
      <w:r>
        <w:rPr>
          <w:rFonts w:hint="default" w:ascii="Times New Roman" w:hAnsi="Times New Roman" w:cs="Times New Roman"/>
        </w:rPr>
        <w:t>如</w:t>
      </w:r>
      <w:r>
        <w:rPr>
          <w:rFonts w:hint="default" w:ascii="Times New Roman" w:hAnsi="Times New Roman" w:cs="Times New Roman"/>
          <w:lang w:eastAsia="zh-CN"/>
        </w:rPr>
        <w:t>使用碳捕集、利用与封存（CCUS）技术产生的温室气体捕获量，</w:t>
      </w:r>
      <w:r>
        <w:rPr>
          <w:rFonts w:hint="default" w:ascii="Times New Roman" w:hAnsi="Times New Roman" w:cs="Times New Roman"/>
        </w:rPr>
        <w:t>通过市场化交易购入使用的非化石能源电力消费量</w:t>
      </w:r>
      <w:r>
        <w:rPr>
          <w:rFonts w:hint="default" w:ascii="Times New Roman" w:hAnsi="Times New Roman" w:cs="Times New Roman"/>
          <w:lang w:val="en-US" w:eastAsia="zh-CN"/>
        </w:rPr>
        <w:t>。</w:t>
      </w:r>
    </w:p>
    <w:p w14:paraId="0DCF788B">
      <w:pPr>
        <w:pStyle w:val="49"/>
        <w:numPr>
          <w:ilvl w:val="0"/>
          <w:numId w:val="10"/>
        </w:numPr>
        <w:spacing w:before="156" w:beforeLines="50" w:afterLines="0" w:line="276" w:lineRule="auto"/>
        <w:outlineLvl w:val="0"/>
        <w:rPr>
          <w:rFonts w:ascii="Times New Roman" w:eastAsia="宋体"/>
          <w:b/>
          <w:bCs/>
        </w:rPr>
      </w:pPr>
      <w:bookmarkStart w:id="39" w:name="_Toc2983"/>
      <w:r>
        <w:rPr>
          <w:rFonts w:ascii="Times New Roman" w:eastAsia="宋体"/>
          <w:b/>
          <w:bCs/>
        </w:rPr>
        <w:t>结果解释</w:t>
      </w:r>
      <w:bookmarkEnd w:id="39"/>
    </w:p>
    <w:p w14:paraId="5D64D094">
      <w:pPr>
        <w:pStyle w:val="46"/>
        <w:numPr>
          <w:ilvl w:val="1"/>
          <w:numId w:val="10"/>
        </w:numPr>
        <w:spacing w:before="156" w:after="156" w:line="276" w:lineRule="auto"/>
        <w:outlineLvl w:val="1"/>
        <w:rPr>
          <w:rFonts w:ascii="Times New Roman"/>
        </w:rPr>
      </w:pPr>
      <w:r>
        <w:rPr>
          <w:rFonts w:ascii="Times New Roman"/>
        </w:rPr>
        <w:t>产品碳足迹研究的生命周期结果解释阶段应包括以下步骤：</w:t>
      </w:r>
    </w:p>
    <w:p w14:paraId="4A9E33F0">
      <w:pPr>
        <w:pStyle w:val="26"/>
        <w:spacing w:line="276" w:lineRule="auto"/>
        <w:rPr>
          <w:rFonts w:ascii="Times New Roman"/>
        </w:rPr>
      </w:pPr>
      <w:r>
        <w:rPr>
          <w:rFonts w:ascii="Times New Roman"/>
        </w:rPr>
        <w:t>a) 根据生命周期清单分析和生命周期影响评价的产品碳足迹的量化结果，识别显著环节（可包括生命周期阶段、单元过程或流）；</w:t>
      </w:r>
    </w:p>
    <w:p w14:paraId="625CA754">
      <w:pPr>
        <w:pStyle w:val="26"/>
        <w:spacing w:line="276" w:lineRule="auto"/>
        <w:rPr>
          <w:rFonts w:ascii="Times New Roman"/>
        </w:rPr>
      </w:pPr>
      <w:r>
        <w:rPr>
          <w:rFonts w:ascii="Times New Roman"/>
        </w:rPr>
        <w:t>b) 完整性、一致性和敏感性分析的评估；</w:t>
      </w:r>
    </w:p>
    <w:p w14:paraId="17E42031">
      <w:pPr>
        <w:pStyle w:val="26"/>
        <w:spacing w:line="276" w:lineRule="auto"/>
        <w:rPr>
          <w:rFonts w:ascii="Times New Roman"/>
        </w:rPr>
      </w:pPr>
      <w:r>
        <w:rPr>
          <w:rFonts w:ascii="Times New Roman"/>
        </w:rPr>
        <w:t>c) 结论、局限性和建议的编制。</w:t>
      </w:r>
    </w:p>
    <w:p w14:paraId="110F47C5">
      <w:pPr>
        <w:pStyle w:val="46"/>
        <w:numPr>
          <w:ilvl w:val="1"/>
          <w:numId w:val="10"/>
        </w:numPr>
        <w:spacing w:before="156" w:after="156" w:line="276" w:lineRule="auto"/>
        <w:outlineLvl w:val="1"/>
        <w:rPr>
          <w:rFonts w:ascii="Times New Roman"/>
        </w:rPr>
      </w:pPr>
      <w:r>
        <w:rPr>
          <w:rFonts w:ascii="Times New Roman"/>
        </w:rPr>
        <w:t>应根据产品碳足迹研究的目的和范围进行结果解释，解释应包括以下内容：</w:t>
      </w:r>
    </w:p>
    <w:p w14:paraId="694179A3">
      <w:pPr>
        <w:pStyle w:val="26"/>
        <w:spacing w:line="276" w:lineRule="auto"/>
        <w:rPr>
          <w:rFonts w:ascii="Times New Roman"/>
        </w:rPr>
      </w:pPr>
      <w:r>
        <w:rPr>
          <w:rFonts w:ascii="Times New Roman"/>
        </w:rPr>
        <w:t>——说明产品碳足迹和各生命周期阶段的碳足迹；</w:t>
      </w:r>
    </w:p>
    <w:p w14:paraId="4CAFEBA9">
      <w:pPr>
        <w:pStyle w:val="26"/>
        <w:spacing w:line="276" w:lineRule="auto"/>
        <w:rPr>
          <w:rFonts w:ascii="Times New Roman"/>
        </w:rPr>
      </w:pPr>
      <w:r>
        <w:rPr>
          <w:rFonts w:ascii="Times New Roman"/>
        </w:rPr>
        <w:t>——分析不确定性，包括取舍准则的应用或范围；</w:t>
      </w:r>
    </w:p>
    <w:p w14:paraId="52FEBA04">
      <w:pPr>
        <w:pStyle w:val="26"/>
        <w:spacing w:line="276" w:lineRule="auto"/>
        <w:rPr>
          <w:rFonts w:ascii="Times New Roman"/>
        </w:rPr>
      </w:pPr>
      <w:r>
        <w:rPr>
          <w:rFonts w:ascii="Times New Roman"/>
        </w:rPr>
        <w:t>——详细记录选定的分配程序；</w:t>
      </w:r>
    </w:p>
    <w:p w14:paraId="49F7E52F">
      <w:pPr>
        <w:pStyle w:val="26"/>
        <w:spacing w:line="276" w:lineRule="auto"/>
        <w:rPr>
          <w:rFonts w:ascii="Times New Roman"/>
        </w:rPr>
      </w:pPr>
      <w:r>
        <w:rPr>
          <w:rFonts w:ascii="Times New Roman"/>
        </w:rPr>
        <w:t>——说明产品碳足迹研究的局限性。</w:t>
      </w:r>
    </w:p>
    <w:p w14:paraId="2E8CC761">
      <w:pPr>
        <w:pStyle w:val="49"/>
        <w:numPr>
          <w:ilvl w:val="0"/>
          <w:numId w:val="10"/>
        </w:numPr>
        <w:spacing w:before="156" w:beforeLines="50" w:afterLines="0" w:line="276" w:lineRule="auto"/>
        <w:outlineLvl w:val="0"/>
        <w:rPr>
          <w:rFonts w:ascii="Times New Roman" w:eastAsia="宋体"/>
          <w:b/>
          <w:bCs/>
        </w:rPr>
      </w:pPr>
      <w:bookmarkStart w:id="40" w:name="_Toc30856"/>
      <w:r>
        <w:rPr>
          <w:rFonts w:ascii="Times New Roman" w:eastAsia="宋体"/>
          <w:b/>
          <w:bCs/>
        </w:rPr>
        <w:t>鉴定性评审</w:t>
      </w:r>
      <w:bookmarkEnd w:id="40"/>
    </w:p>
    <w:p w14:paraId="3D82A66D">
      <w:pPr>
        <w:pStyle w:val="49"/>
        <w:numPr>
          <w:ilvl w:val="0"/>
          <w:numId w:val="0"/>
        </w:numPr>
        <w:spacing w:before="156" w:beforeLines="50" w:afterLines="0" w:line="276" w:lineRule="auto"/>
        <w:ind w:firstLine="420" w:firstLineChars="200"/>
        <w:outlineLvl w:val="9"/>
        <w:rPr>
          <w:rFonts w:ascii="Times New Roman" w:eastAsia="宋体"/>
          <w:kern w:val="2"/>
          <w:szCs w:val="24"/>
        </w:rPr>
      </w:pPr>
      <w:r>
        <w:rPr>
          <w:rFonts w:ascii="Times New Roman" w:eastAsia="宋体"/>
          <w:kern w:val="2"/>
          <w:szCs w:val="24"/>
        </w:rPr>
        <w:t>如果开展产品碳足迹研究的鉴定性评审，应按照ISO/TS 14071规定进行，有利于理解产品碳足迹报告，并提高结果的可信度。</w:t>
      </w:r>
    </w:p>
    <w:p w14:paraId="7A98680C">
      <w:pPr>
        <w:pStyle w:val="49"/>
        <w:numPr>
          <w:ilvl w:val="0"/>
          <w:numId w:val="10"/>
        </w:numPr>
        <w:spacing w:before="156" w:beforeLines="50" w:afterLines="0" w:line="276" w:lineRule="auto"/>
        <w:outlineLvl w:val="0"/>
        <w:rPr>
          <w:rFonts w:ascii="Times New Roman" w:eastAsia="宋体"/>
          <w:b/>
          <w:bCs/>
          <w:kern w:val="0"/>
          <w:szCs w:val="20"/>
        </w:rPr>
      </w:pPr>
      <w:bookmarkStart w:id="41" w:name="_Toc9116"/>
      <w:r>
        <w:rPr>
          <w:rFonts w:hint="eastAsia" w:ascii="Times New Roman" w:eastAsia="宋体"/>
          <w:b/>
          <w:bCs/>
          <w:kern w:val="0"/>
          <w:szCs w:val="20"/>
          <w:lang w:val="en-US" w:eastAsia="zh-CN"/>
        </w:rPr>
        <w:t>可比性</w:t>
      </w:r>
      <w:bookmarkEnd w:id="41"/>
    </w:p>
    <w:p w14:paraId="4EEA9967">
      <w:pPr>
        <w:pStyle w:val="49"/>
        <w:numPr>
          <w:ilvl w:val="0"/>
          <w:numId w:val="0"/>
        </w:numPr>
        <w:spacing w:before="156" w:beforeLines="50" w:afterLines="0" w:line="276" w:lineRule="auto"/>
        <w:ind w:firstLine="420" w:firstLineChars="200"/>
        <w:outlineLvl w:val="9"/>
        <w:rPr>
          <w:rFonts w:ascii="Times New Roman" w:eastAsia="宋体"/>
          <w:kern w:val="2"/>
          <w:szCs w:val="24"/>
        </w:rPr>
      </w:pPr>
      <w:r>
        <w:rPr>
          <w:rFonts w:ascii="Times New Roman" w:eastAsia="宋体"/>
          <w:kern w:val="2"/>
          <w:szCs w:val="24"/>
        </w:rPr>
        <w:t>产品碳足迹量化结果的对比，应在满足以下所有条件时进行：</w:t>
      </w:r>
    </w:p>
    <w:p w14:paraId="58237527">
      <w:pPr>
        <w:pStyle w:val="151"/>
        <w:numPr>
          <w:ilvl w:val="0"/>
          <w:numId w:val="20"/>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产品功能、技术性能和用途是相同的；</w:t>
      </w:r>
    </w:p>
    <w:p w14:paraId="72909964">
      <w:pPr>
        <w:pStyle w:val="151"/>
        <w:numPr>
          <w:ilvl w:val="0"/>
          <w:numId w:val="20"/>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功能单位是相同的，系统边界的选取是等同的；</w:t>
      </w:r>
    </w:p>
    <w:p w14:paraId="40BA9E2A">
      <w:pPr>
        <w:pStyle w:val="151"/>
        <w:numPr>
          <w:ilvl w:val="0"/>
          <w:numId w:val="20"/>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数据的收集与确认是等同的（包括数据的描述、取舍准则、数据质量要求）</w:t>
      </w:r>
      <w:r>
        <w:rPr>
          <w:rFonts w:hint="eastAsia" w:ascii="Times New Roman" w:hAnsi="Times New Roman" w:eastAsia="宋体" w:cs="Times New Roman"/>
          <w:szCs w:val="21"/>
          <w:lang w:eastAsia="zh-CN"/>
        </w:rPr>
        <w:t>；</w:t>
      </w:r>
    </w:p>
    <w:p w14:paraId="0EBAA9D5">
      <w:pPr>
        <w:pStyle w:val="151"/>
        <w:numPr>
          <w:ilvl w:val="0"/>
          <w:numId w:val="20"/>
        </w:numPr>
        <w:spacing w:line="276" w:lineRule="auto"/>
        <w:ind w:firstLineChars="0"/>
        <w:rPr>
          <w:rFonts w:ascii="Times New Roman" w:hAnsi="Times New Roman" w:eastAsia="宋体" w:cs="Times New Roman"/>
          <w:szCs w:val="21"/>
        </w:rPr>
      </w:pPr>
      <w:r>
        <w:rPr>
          <w:rFonts w:ascii="Times New Roman" w:hAnsi="Times New Roman" w:eastAsia="宋体" w:cs="Times New Roman"/>
          <w:szCs w:val="21"/>
        </w:rPr>
        <w:t>产品碳足迹的量化方法是相同的（包括数据审定、分配和产品碳足迹影响评价）</w:t>
      </w:r>
      <w:r>
        <w:rPr>
          <w:rFonts w:hint="eastAsia" w:ascii="Times New Roman" w:hAnsi="Times New Roman" w:eastAsia="宋体" w:cs="Times New Roman"/>
          <w:szCs w:val="21"/>
          <w:lang w:eastAsia="zh-CN"/>
        </w:rPr>
        <w:t>。</w:t>
      </w:r>
    </w:p>
    <w:p w14:paraId="69B9AC14">
      <w:pPr>
        <w:pStyle w:val="49"/>
        <w:numPr>
          <w:ilvl w:val="0"/>
          <w:numId w:val="10"/>
        </w:numPr>
        <w:spacing w:before="156" w:beforeLines="50" w:afterLines="0" w:line="276" w:lineRule="auto"/>
        <w:outlineLvl w:val="0"/>
        <w:rPr>
          <w:rFonts w:ascii="Times New Roman" w:eastAsia="宋体"/>
          <w:b/>
          <w:bCs/>
        </w:rPr>
      </w:pPr>
      <w:bookmarkStart w:id="42" w:name="_Toc13549"/>
      <w:r>
        <w:rPr>
          <w:rFonts w:ascii="Times New Roman" w:eastAsia="宋体"/>
          <w:b/>
          <w:bCs/>
        </w:rPr>
        <w:t>产品碳足迹绩效追踪</w:t>
      </w:r>
      <w:bookmarkEnd w:id="42"/>
    </w:p>
    <w:p w14:paraId="7CAEEE84">
      <w:pPr>
        <w:pStyle w:val="26"/>
        <w:spacing w:line="276" w:lineRule="auto"/>
        <w:rPr>
          <w:rFonts w:ascii="Times New Roman"/>
        </w:rPr>
      </w:pPr>
      <w:r>
        <w:rPr>
          <w:rFonts w:ascii="Times New Roman"/>
          <w:kern w:val="2"/>
          <w:szCs w:val="24"/>
        </w:rPr>
        <w:t>针对</w:t>
      </w:r>
      <w:r>
        <w:rPr>
          <w:rFonts w:ascii="Times New Roman"/>
          <w:szCs w:val="21"/>
        </w:rPr>
        <w:t>同一组织的某一特定产品</w:t>
      </w:r>
      <w:r>
        <w:rPr>
          <w:rFonts w:ascii="Times New Roman"/>
          <w:kern w:val="2"/>
          <w:szCs w:val="24"/>
        </w:rPr>
        <w:t>，宜基于本文件针对连续的数据统计周期对产品碳足迹进行绩效追踪</w:t>
      </w:r>
      <w:r>
        <w:rPr>
          <w:rFonts w:ascii="Times New Roman"/>
        </w:rPr>
        <w:t>，以改进</w:t>
      </w:r>
      <w:r>
        <w:rPr>
          <w:rFonts w:hint="eastAsia" w:ascii="Times New Roman"/>
          <w:lang w:val="en-US" w:eastAsia="zh-CN"/>
        </w:rPr>
        <w:t>水泥</w:t>
      </w:r>
      <w:r>
        <w:rPr>
          <w:rFonts w:ascii="Times New Roman"/>
        </w:rPr>
        <w:t>产品碳足迹对全球变暖的潜在影响。</w:t>
      </w:r>
    </w:p>
    <w:p w14:paraId="72A2C2B2">
      <w:pPr>
        <w:pStyle w:val="49"/>
        <w:numPr>
          <w:ilvl w:val="0"/>
          <w:numId w:val="10"/>
        </w:numPr>
        <w:spacing w:before="156" w:beforeLines="50" w:afterLines="0" w:line="276" w:lineRule="auto"/>
        <w:outlineLvl w:val="0"/>
        <w:rPr>
          <w:rFonts w:ascii="Times New Roman" w:eastAsia="宋体"/>
          <w:b/>
          <w:bCs/>
        </w:rPr>
      </w:pPr>
      <w:bookmarkStart w:id="43" w:name="_Toc21056"/>
      <w:r>
        <w:rPr>
          <w:rFonts w:ascii="Times New Roman" w:eastAsia="宋体"/>
          <w:b/>
          <w:bCs/>
        </w:rPr>
        <w:t>产品碳足迹报告</w:t>
      </w:r>
      <w:bookmarkEnd w:id="43"/>
    </w:p>
    <w:p w14:paraId="20D4E47E">
      <w:pPr>
        <w:pStyle w:val="46"/>
        <w:numPr>
          <w:ilvl w:val="1"/>
          <w:numId w:val="10"/>
        </w:numPr>
        <w:spacing w:before="156" w:after="156" w:line="276" w:lineRule="auto"/>
        <w:jc w:val="both"/>
        <w:outlineLvl w:val="1"/>
        <w:rPr>
          <w:rFonts w:ascii="Times New Roman"/>
        </w:rPr>
      </w:pPr>
      <w:r>
        <w:rPr>
          <w:rFonts w:ascii="Times New Roman"/>
        </w:rPr>
        <w:t>产品碳足迹宜以报告、声明、证书和（或）标签的形式描述碳足迹量化结果，且应以每功能单位</w:t>
      </w:r>
      <w:r>
        <w:rPr>
          <w:rFonts w:hint="eastAsia" w:ascii="Times New Roman"/>
        </w:rPr>
        <w:t>（声明单位）</w:t>
      </w:r>
      <w:r>
        <w:rPr>
          <w:rFonts w:ascii="Times New Roman"/>
        </w:rPr>
        <w:t>的二氧化碳当量进行表述。若采用产品碳足迹证书和（或）产品碳足迹标签，</w:t>
      </w:r>
      <w:r>
        <w:rPr>
          <w:rFonts w:hint="eastAsia" w:ascii="Times New Roman"/>
        </w:rPr>
        <w:t>宜</w:t>
      </w:r>
      <w:r>
        <w:rPr>
          <w:rFonts w:ascii="Times New Roman"/>
        </w:rPr>
        <w:t>同时出具产品碳足迹报告。如碳足迹量化结果应用于下游供应链，则应分别报送产品各</w:t>
      </w:r>
      <w:r>
        <w:rPr>
          <w:rFonts w:hint="eastAsia" w:ascii="Times New Roman"/>
        </w:rPr>
        <w:t>生命周期</w:t>
      </w:r>
      <w:r>
        <w:rPr>
          <w:rFonts w:ascii="Times New Roman"/>
        </w:rPr>
        <w:t>阶段的量化结果，避免下游供应链碳足迹结果的重复计算。</w:t>
      </w:r>
    </w:p>
    <w:p w14:paraId="2E0DEAAD">
      <w:pPr>
        <w:pStyle w:val="46"/>
        <w:numPr>
          <w:ilvl w:val="1"/>
          <w:numId w:val="10"/>
        </w:numPr>
        <w:spacing w:before="156" w:after="156" w:line="276" w:lineRule="auto"/>
        <w:outlineLvl w:val="1"/>
        <w:rPr>
          <w:rFonts w:ascii="Times New Roman"/>
        </w:rPr>
      </w:pPr>
      <w:r>
        <w:rPr>
          <w:rFonts w:ascii="Times New Roman"/>
        </w:rPr>
        <w:t>依据本文件编制的产品碳足迹报告应</w:t>
      </w:r>
      <w:r>
        <w:rPr>
          <w:rFonts w:hint="eastAsia" w:ascii="Times New Roman"/>
        </w:rPr>
        <w:t>符合GB/T XXXX第7章的要求</w:t>
      </w:r>
      <w:r>
        <w:rPr>
          <w:rFonts w:ascii="Times New Roman"/>
        </w:rPr>
        <w:t>，报告</w:t>
      </w:r>
      <w:r>
        <w:rPr>
          <w:rFonts w:hint="eastAsia" w:ascii="Times New Roman"/>
        </w:rPr>
        <w:t>模板</w:t>
      </w:r>
      <w:r>
        <w:rPr>
          <w:rFonts w:ascii="Times New Roman"/>
        </w:rPr>
        <w:t>见附录E</w:t>
      </w:r>
      <w:r>
        <w:rPr>
          <w:rFonts w:hint="eastAsia" w:ascii="Times New Roman"/>
        </w:rPr>
        <w:t>。</w:t>
      </w:r>
      <w:bookmarkEnd w:id="20"/>
      <w:r>
        <w:rPr>
          <w:rFonts w:ascii="Times New Roman"/>
        </w:rPr>
        <w:br w:type="page"/>
      </w:r>
    </w:p>
    <w:p w14:paraId="64E4D7A1">
      <w:pPr>
        <w:spacing w:line="276" w:lineRule="auto"/>
        <w:jc w:val="center"/>
        <w:rPr>
          <w:sz w:val="28"/>
          <w:szCs w:val="32"/>
        </w:rPr>
        <w:sectPr>
          <w:headerReference r:id="rId11" w:type="first"/>
          <w:footerReference r:id="rId14" w:type="first"/>
          <w:footerReference r:id="rId12" w:type="default"/>
          <w:headerReference r:id="rId10" w:type="even"/>
          <w:footerReference r:id="rId13" w:type="even"/>
          <w:pgSz w:w="11906" w:h="16838"/>
          <w:pgMar w:top="1021" w:right="1134" w:bottom="1021" w:left="1021" w:header="1134" w:footer="1134" w:gutter="0"/>
          <w:pgNumType w:start="1"/>
          <w:cols w:space="425" w:num="1"/>
          <w:formProt w:val="0"/>
          <w:titlePg/>
          <w:docGrid w:type="linesAndChars" w:linePitch="312" w:charSpace="0"/>
        </w:sectPr>
      </w:pPr>
    </w:p>
    <w:p w14:paraId="2A0416FF">
      <w:pPr>
        <w:spacing w:line="276" w:lineRule="auto"/>
        <w:jc w:val="center"/>
        <w:outlineLvl w:val="0"/>
        <w:rPr>
          <w:sz w:val="24"/>
        </w:rPr>
      </w:pPr>
      <w:bookmarkStart w:id="44" w:name="_Toc11170"/>
      <w:r>
        <w:rPr>
          <w:sz w:val="28"/>
          <w:szCs w:val="32"/>
        </w:rPr>
        <w:t>附录A</w:t>
      </w:r>
      <w:r>
        <w:rPr>
          <w:sz w:val="28"/>
          <w:szCs w:val="32"/>
        </w:rPr>
        <w:br w:type="textWrapping"/>
      </w:r>
      <w:r>
        <w:rPr>
          <w:sz w:val="24"/>
        </w:rPr>
        <w:t>（资料性）</w:t>
      </w:r>
      <w:r>
        <w:rPr>
          <w:sz w:val="24"/>
        </w:rPr>
        <w:br w:type="textWrapping"/>
      </w:r>
      <w:r>
        <w:rPr>
          <w:rFonts w:hint="eastAsia"/>
          <w:sz w:val="24"/>
          <w:lang w:val="en-US" w:eastAsia="zh-CN"/>
        </w:rPr>
        <w:t>水泥</w:t>
      </w:r>
      <w:r>
        <w:rPr>
          <w:sz w:val="24"/>
        </w:rPr>
        <w:t>产品标准</w:t>
      </w:r>
      <w:bookmarkEnd w:id="44"/>
    </w:p>
    <w:p w14:paraId="095A73E1">
      <w:pPr>
        <w:spacing w:line="276" w:lineRule="auto"/>
        <w:ind w:firstLine="420" w:firstLineChars="200"/>
        <w:rPr>
          <w:rFonts w:hint="eastAsia"/>
          <w:kern w:val="0"/>
          <w:szCs w:val="21"/>
        </w:rPr>
      </w:pPr>
      <w:r>
        <w:rPr>
          <w:rFonts w:hint="eastAsia"/>
          <w:kern w:val="0"/>
          <w:szCs w:val="21"/>
        </w:rPr>
        <w:t>常用</w:t>
      </w:r>
      <w:r>
        <w:rPr>
          <w:rFonts w:hint="eastAsia"/>
          <w:kern w:val="0"/>
          <w:szCs w:val="21"/>
          <w:lang w:val="en-US" w:eastAsia="zh-CN"/>
        </w:rPr>
        <w:t>水泥</w:t>
      </w:r>
      <w:r>
        <w:rPr>
          <w:rFonts w:hint="eastAsia"/>
          <w:kern w:val="0"/>
          <w:szCs w:val="21"/>
        </w:rPr>
        <w:t>相关产品执行标准见表A.1。</w:t>
      </w:r>
    </w:p>
    <w:p w14:paraId="41B73484">
      <w:pPr>
        <w:spacing w:line="276" w:lineRule="auto"/>
        <w:ind w:firstLine="420" w:firstLineChars="200"/>
        <w:jc w:val="center"/>
        <w:rPr>
          <w:rFonts w:hint="eastAsia"/>
          <w:kern w:val="0"/>
          <w:szCs w:val="21"/>
        </w:rPr>
      </w:pPr>
      <w:r>
        <w:rPr>
          <w:rFonts w:hint="eastAsia"/>
          <w:kern w:val="0"/>
          <w:szCs w:val="21"/>
        </w:rPr>
        <w:t>表A.1 常用</w:t>
      </w:r>
      <w:r>
        <w:rPr>
          <w:rFonts w:hint="eastAsia"/>
          <w:kern w:val="0"/>
          <w:szCs w:val="21"/>
          <w:lang w:val="en-US" w:eastAsia="zh-CN"/>
        </w:rPr>
        <w:t>水泥</w:t>
      </w:r>
      <w:r>
        <w:rPr>
          <w:rFonts w:hint="eastAsia"/>
          <w:kern w:val="0"/>
          <w:szCs w:val="21"/>
        </w:rPr>
        <w:t>产品执行标准</w:t>
      </w:r>
    </w:p>
    <w:tbl>
      <w:tblPr>
        <w:tblStyle w:val="35"/>
        <w:tblW w:w="4071" w:type="pct"/>
        <w:tblInd w:w="5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8"/>
        <w:gridCol w:w="4293"/>
        <w:gridCol w:w="2734"/>
      </w:tblGrid>
      <w:tr w14:paraId="21E75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571D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ascii="Times New Roman" w:hAnsi="Times New Roman" w:eastAsia="宋体" w:cs="Times New Roman"/>
                <w:b w:val="0"/>
                <w:bCs w:val="0"/>
                <w:i w:val="0"/>
                <w:iCs w:val="0"/>
                <w:color w:val="000000"/>
                <w:kern w:val="0"/>
                <w:sz w:val="20"/>
                <w:szCs w:val="20"/>
                <w:u w:val="none"/>
                <w:lang w:val="en-US" w:eastAsia="zh-CN" w:bidi="ar"/>
              </w:rPr>
              <w:t>序号</w:t>
            </w: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6E68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lang w:val="en-US"/>
              </w:rPr>
            </w:pPr>
            <w:r>
              <w:rPr>
                <w:rFonts w:hint="eastAsia" w:ascii="Times New Roman" w:hAnsi="Times New Roman" w:eastAsia="宋体" w:cs="Times New Roman"/>
                <w:b w:val="0"/>
                <w:bCs w:val="0"/>
                <w:i w:val="0"/>
                <w:iCs w:val="0"/>
                <w:color w:val="000000"/>
                <w:kern w:val="0"/>
                <w:sz w:val="20"/>
                <w:szCs w:val="20"/>
                <w:u w:val="none"/>
                <w:lang w:val="en-US" w:eastAsia="zh-CN" w:bidi="ar"/>
              </w:rPr>
              <w:t>产品名称</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BA7F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产品标准</w:t>
            </w:r>
          </w:p>
        </w:tc>
      </w:tr>
      <w:tr w14:paraId="68138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D091">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B20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硅酸盐水泥熟料</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A3AB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21372-2024</w:t>
            </w:r>
          </w:p>
        </w:tc>
      </w:tr>
      <w:tr w14:paraId="5C2A6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7367D">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CE6B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硫铝酸盐水泥熟料</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537A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37125-2018</w:t>
            </w:r>
          </w:p>
        </w:tc>
      </w:tr>
      <w:tr w14:paraId="10670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C9C6D">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FD73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6123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06351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B96CD">
            <w:pPr>
              <w:keepNext w:val="0"/>
              <w:keepLines w:val="0"/>
              <w:widowControl/>
              <w:numPr>
                <w:ilvl w:val="0"/>
                <w:numId w:val="21"/>
              </w:numPr>
              <w:suppressLineNumbers w:val="0"/>
              <w:ind w:left="425" w:leftChars="0" w:hanging="425" w:firstLineChars="0"/>
              <w:jc w:val="center"/>
              <w:textAlignment w:val="center"/>
              <w:rPr>
                <w:rFonts w:hint="eastAsia"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10AE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普通硅酸盐水泥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20DA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23574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63CEB">
            <w:pPr>
              <w:keepNext w:val="0"/>
              <w:keepLines w:val="0"/>
              <w:widowControl/>
              <w:numPr>
                <w:ilvl w:val="0"/>
                <w:numId w:val="21"/>
              </w:numPr>
              <w:suppressLineNumbers w:val="0"/>
              <w:ind w:left="425" w:leftChars="0" w:hanging="425" w:firstLineChars="0"/>
              <w:jc w:val="center"/>
              <w:textAlignment w:val="center"/>
              <w:rPr>
                <w:rFonts w:hint="eastAsia"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1CFD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矿渣硅酸盐水泥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25E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1C75F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AE281">
            <w:pPr>
              <w:keepNext w:val="0"/>
              <w:keepLines w:val="0"/>
              <w:widowControl/>
              <w:numPr>
                <w:ilvl w:val="0"/>
                <w:numId w:val="21"/>
              </w:numPr>
              <w:suppressLineNumbers w:val="0"/>
              <w:ind w:left="425" w:leftChars="0" w:hanging="425" w:firstLineChars="0"/>
              <w:jc w:val="center"/>
              <w:textAlignment w:val="center"/>
              <w:rPr>
                <w:rFonts w:hint="eastAsia"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EA1F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火山灰质硅酸盐水泥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3BB8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42BC5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22B8">
            <w:pPr>
              <w:keepNext w:val="0"/>
              <w:keepLines w:val="0"/>
              <w:widowControl/>
              <w:numPr>
                <w:ilvl w:val="0"/>
                <w:numId w:val="21"/>
              </w:numPr>
              <w:suppressLineNumbers w:val="0"/>
              <w:ind w:left="425" w:leftChars="0" w:hanging="425" w:firstLineChars="0"/>
              <w:jc w:val="center"/>
              <w:textAlignment w:val="center"/>
              <w:rPr>
                <w:rFonts w:hint="eastAsia"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3FDC2">
            <w:pPr>
              <w:keepNext w:val="0"/>
              <w:keepLines w:val="0"/>
              <w:widowControl/>
              <w:suppressLineNumbers w:val="0"/>
              <w:jc w:val="center"/>
              <w:textAlignment w:val="center"/>
              <w:rPr>
                <w:rFonts w:hint="default"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粉煤灰硅酸盐水泥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7F99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25077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CB9A">
            <w:pPr>
              <w:keepNext w:val="0"/>
              <w:keepLines w:val="0"/>
              <w:widowControl/>
              <w:numPr>
                <w:ilvl w:val="0"/>
                <w:numId w:val="21"/>
              </w:numPr>
              <w:suppressLineNumbers w:val="0"/>
              <w:ind w:left="425" w:leftChars="0" w:hanging="425" w:firstLineChars="0"/>
              <w:jc w:val="center"/>
              <w:textAlignment w:val="center"/>
              <w:rPr>
                <w:rFonts w:hint="eastAsia"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7475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eastAsia" w:cs="Times New Roman"/>
                <w:b w:val="0"/>
                <w:bCs w:val="0"/>
                <w:i w:val="0"/>
                <w:iCs w:val="0"/>
                <w:color w:val="000000"/>
                <w:kern w:val="0"/>
                <w:sz w:val="20"/>
                <w:szCs w:val="20"/>
                <w:u w:val="none"/>
                <w:lang w:val="en-US" w:eastAsia="zh-CN" w:bidi="ar"/>
              </w:rPr>
              <w:t>复合硅酸盐水泥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B2A3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GB 175-2023</w:t>
            </w:r>
          </w:p>
        </w:tc>
      </w:tr>
      <w:tr w14:paraId="6F6A5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66977">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9526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低热微膨胀水泥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AFD1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 2938-2008</w:t>
            </w:r>
          </w:p>
        </w:tc>
      </w:tr>
      <w:tr w14:paraId="09FB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E4577">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F243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钢渣道路水泥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FD3C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 25029-2010</w:t>
            </w:r>
          </w:p>
        </w:tc>
      </w:tr>
      <w:tr w14:paraId="6878B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1729">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8A60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中热硅酸盐水泥、低热硅酸盐水泥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CC6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200-2017</w:t>
            </w:r>
          </w:p>
        </w:tc>
      </w:tr>
      <w:tr w14:paraId="6D264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9C709">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EA60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抗硫酸盐硅酸盐水泥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DEF3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748-2023</w:t>
            </w:r>
          </w:p>
        </w:tc>
      </w:tr>
      <w:tr w14:paraId="4328A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AFD74">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CC3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砌筑水泥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B7B2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3183-2017</w:t>
            </w:r>
          </w:p>
        </w:tc>
      </w:tr>
      <w:tr w14:paraId="6A6E7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C10A">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50EB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油井水泥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6694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10238-2015</w:t>
            </w:r>
          </w:p>
        </w:tc>
      </w:tr>
      <w:tr w14:paraId="08C91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1CDA">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4E4F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钢渣矿渣硅酸盐水泥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7D7E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13590-2022</w:t>
            </w:r>
          </w:p>
        </w:tc>
      </w:tr>
      <w:tr w14:paraId="2C2EA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C14A5">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3CB6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道路硅酸盐水泥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CB8E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13693-2017</w:t>
            </w:r>
          </w:p>
        </w:tc>
      </w:tr>
      <w:tr w14:paraId="21B36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AFACE">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89D4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镁渣硅酸盐水泥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8EA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23933-2009</w:t>
            </w:r>
          </w:p>
        </w:tc>
      </w:tr>
      <w:tr w14:paraId="45B7D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73950">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A372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海工硅酸盐水泥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F18D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31289-2014</w:t>
            </w:r>
          </w:p>
        </w:tc>
      </w:tr>
      <w:tr w14:paraId="04FF0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1297E">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8357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核电工程用硅酸盐水泥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16E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31545-2015</w:t>
            </w:r>
          </w:p>
        </w:tc>
      </w:tr>
      <w:tr w14:paraId="58430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E83B">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16C8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免压蒸管桩硅酸盐水泥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816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34189-2017</w:t>
            </w:r>
          </w:p>
        </w:tc>
      </w:tr>
      <w:tr w14:paraId="1E94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9DD1">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2999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超细硅酸盐水泥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85E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35161-2017</w:t>
            </w:r>
          </w:p>
        </w:tc>
      </w:tr>
      <w:tr w14:paraId="62B9C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D50E8">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877C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道路基层用缓凝硅酸盐水泥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447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35162-2017</w:t>
            </w:r>
          </w:p>
        </w:tc>
      </w:tr>
      <w:tr w14:paraId="6B9E7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41C56">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79E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低热矿渣硅酸盐水泥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E614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42531-2023</w:t>
            </w:r>
          </w:p>
        </w:tc>
      </w:tr>
      <w:tr w14:paraId="1C315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E93CA">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0437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明矾石膨胀水泥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4C4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311-2004</w:t>
            </w:r>
          </w:p>
        </w:tc>
      </w:tr>
      <w:tr w14:paraId="225A6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D822">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2143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石灰石硅酸盐水泥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8D2F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600-2010</w:t>
            </w:r>
          </w:p>
        </w:tc>
      </w:tr>
      <w:tr w14:paraId="697AD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E3A92">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1D88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磷渣硅酸盐水泥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C517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740-2006</w:t>
            </w:r>
          </w:p>
        </w:tc>
      </w:tr>
      <w:tr w14:paraId="588E1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59EBE">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6C2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彩色硅酸盐水泥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A12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870-2012</w:t>
            </w:r>
          </w:p>
        </w:tc>
      </w:tr>
      <w:tr w14:paraId="1227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6D695">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3967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低热钢渣硅酸盐水泥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BCD1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1082-2008</w:t>
            </w:r>
          </w:p>
        </w:tc>
      </w:tr>
      <w:tr w14:paraId="080E6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3D7E1">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F97C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钢渣砌筑水泥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808B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1090-2008</w:t>
            </w:r>
          </w:p>
        </w:tc>
      </w:tr>
      <w:tr w14:paraId="7A9B6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52FF5">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478D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硫铝酸钙改性硅酸盐水泥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5511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1099-2023</w:t>
            </w:r>
          </w:p>
        </w:tc>
      </w:tr>
      <w:tr w14:paraId="4718D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FCB7">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936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混合硅酸盐水泥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DFDF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T/CECS 10087-2020</w:t>
            </w:r>
          </w:p>
        </w:tc>
      </w:tr>
      <w:tr w14:paraId="46EDB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A0E1C">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D48E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白色硅酸盐水泥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C594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2015-2017</w:t>
            </w:r>
          </w:p>
        </w:tc>
      </w:tr>
      <w:tr w14:paraId="7E9E5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20722">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B0D8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D1D6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201-2015</w:t>
            </w:r>
          </w:p>
        </w:tc>
      </w:tr>
      <w:tr w14:paraId="20440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6CA8">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F920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特快硬调凝铝酸盐水泥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300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736-1985</w:t>
            </w:r>
          </w:p>
        </w:tc>
      </w:tr>
      <w:tr w14:paraId="051C7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830B0">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C396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自应力铁铝酸盐水泥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80D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437-2010</w:t>
            </w:r>
          </w:p>
        </w:tc>
      </w:tr>
      <w:tr w14:paraId="5F90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368B8">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0BB6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02B25">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20472-2006</w:t>
            </w:r>
          </w:p>
        </w:tc>
      </w:tr>
      <w:tr w14:paraId="3E7F4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DE2FF">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05DA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快速施工用海工硫铝酸盐水泥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D580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GB/T 39712-2020</w:t>
            </w:r>
          </w:p>
        </w:tc>
      </w:tr>
      <w:tr w14:paraId="7CDE8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AA4D7">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5D7F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I型低碱度硫铝酸盐水泥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BDC1">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737-1986</w:t>
            </w:r>
          </w:p>
        </w:tc>
      </w:tr>
      <w:tr w14:paraId="48E52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85760">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1DD8A">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快硬高铁硫铝酸盐水泥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838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933-2019</w:t>
            </w:r>
          </w:p>
        </w:tc>
      </w:tr>
      <w:tr w14:paraId="65F07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84BFC">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A34A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复合硫铝酸盐水泥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5B259">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2152-2012</w:t>
            </w:r>
          </w:p>
        </w:tc>
      </w:tr>
      <w:tr w14:paraId="1FC7D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E4B2">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09C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快凝快硬硫铝酸盐水泥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6B68F">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2282-2014</w:t>
            </w:r>
          </w:p>
        </w:tc>
      </w:tr>
      <w:tr w14:paraId="560D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248A7">
            <w:pPr>
              <w:keepNext w:val="0"/>
              <w:keepLines w:val="0"/>
              <w:widowControl/>
              <w:numPr>
                <w:ilvl w:val="0"/>
                <w:numId w:val="21"/>
              </w:numPr>
              <w:suppressLineNumbers w:val="0"/>
              <w:ind w:left="425" w:leftChars="0" w:hanging="425" w:firstLineChars="0"/>
              <w:jc w:val="center"/>
              <w:textAlignment w:val="center"/>
              <w:rPr>
                <w:rFonts w:hint="default" w:ascii="Times New Roman" w:hAnsi="Times New Roman" w:eastAsia="宋体" w:cs="Times New Roman"/>
                <w:b w:val="0"/>
                <w:bCs w:val="0"/>
                <w:i w:val="0"/>
                <w:iCs w:val="0"/>
                <w:color w:val="000000"/>
                <w:kern w:val="0"/>
                <w:sz w:val="20"/>
                <w:szCs w:val="20"/>
                <w:u w:val="none"/>
                <w:lang w:val="en-US" w:eastAsia="zh-CN" w:bidi="ar"/>
              </w:rPr>
            </w:pPr>
          </w:p>
        </w:tc>
        <w:tc>
          <w:tcPr>
            <w:tcW w:w="2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B9784">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白色硫铝酸盐水泥</w:t>
            </w:r>
          </w:p>
        </w:tc>
        <w:tc>
          <w:tcPr>
            <w:tcW w:w="16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54FB0">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JC/T 2601-2021</w:t>
            </w:r>
          </w:p>
        </w:tc>
      </w:tr>
    </w:tbl>
    <w:p w14:paraId="3ED5CF3E">
      <w:pPr>
        <w:spacing w:line="276" w:lineRule="auto"/>
        <w:jc w:val="center"/>
        <w:rPr>
          <w:kern w:val="0"/>
          <w:szCs w:val="21"/>
        </w:rPr>
      </w:pPr>
    </w:p>
    <w:p w14:paraId="1D15B917">
      <w:pPr>
        <w:spacing w:line="276" w:lineRule="auto"/>
        <w:jc w:val="center"/>
        <w:rPr>
          <w:kern w:val="0"/>
          <w:szCs w:val="21"/>
        </w:rPr>
      </w:pPr>
    </w:p>
    <w:p w14:paraId="0B56D50B">
      <w:pPr>
        <w:spacing w:line="276" w:lineRule="auto"/>
        <w:jc w:val="center"/>
        <w:rPr>
          <w:sz w:val="24"/>
        </w:rPr>
        <w:sectPr>
          <w:pgSz w:w="11906" w:h="16838"/>
          <w:pgMar w:top="1021" w:right="1134" w:bottom="1021" w:left="1021" w:header="1134" w:footer="1134" w:gutter="0"/>
          <w:cols w:space="425" w:num="1"/>
          <w:formProt w:val="0"/>
          <w:titlePg/>
          <w:docGrid w:type="linesAndChars" w:linePitch="312" w:charSpace="0"/>
        </w:sectPr>
      </w:pPr>
    </w:p>
    <w:p w14:paraId="4B684D97">
      <w:pPr>
        <w:spacing w:line="276" w:lineRule="auto"/>
        <w:jc w:val="center"/>
        <w:outlineLvl w:val="0"/>
      </w:pPr>
      <w:bookmarkStart w:id="45" w:name="_Toc23519"/>
      <w:r>
        <w:rPr>
          <w:sz w:val="28"/>
          <w:szCs w:val="32"/>
        </w:rPr>
        <w:t>附录B</w:t>
      </w:r>
      <w:r>
        <w:rPr>
          <w:sz w:val="28"/>
          <w:szCs w:val="32"/>
        </w:rPr>
        <w:br w:type="textWrapping"/>
      </w:r>
      <w:r>
        <w:rPr>
          <w:sz w:val="24"/>
        </w:rPr>
        <w:t>（资料性）</w:t>
      </w:r>
      <w:r>
        <w:rPr>
          <w:sz w:val="24"/>
        </w:rPr>
        <w:br w:type="textWrapping"/>
      </w:r>
      <w:r>
        <w:rPr>
          <w:sz w:val="24"/>
        </w:rPr>
        <w:t>现场数据采集信息</w:t>
      </w:r>
      <w:bookmarkEnd w:id="45"/>
    </w:p>
    <w:p w14:paraId="24C23B35">
      <w:pPr>
        <w:spacing w:line="276" w:lineRule="auto"/>
        <w:rPr>
          <w:szCs w:val="21"/>
        </w:rPr>
      </w:pPr>
      <w:r>
        <w:rPr>
          <w:szCs w:val="21"/>
        </w:rPr>
        <w:t>现场数据采集表见表B.1。</w:t>
      </w:r>
    </w:p>
    <w:p w14:paraId="64EE8E1B">
      <w:pPr>
        <w:spacing w:line="276" w:lineRule="auto"/>
        <w:jc w:val="center"/>
        <w:rPr>
          <w:szCs w:val="21"/>
        </w:rPr>
      </w:pPr>
      <w:r>
        <w:rPr>
          <w:szCs w:val="21"/>
        </w:rPr>
        <w:t>表B.1 现场数据采集表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869"/>
        <w:gridCol w:w="1459"/>
        <w:gridCol w:w="704"/>
        <w:gridCol w:w="1053"/>
        <w:gridCol w:w="989"/>
        <w:gridCol w:w="1242"/>
        <w:gridCol w:w="1361"/>
        <w:gridCol w:w="1467"/>
      </w:tblGrid>
      <w:tr w14:paraId="6791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restart"/>
            <w:vAlign w:val="center"/>
          </w:tcPr>
          <w:p w14:paraId="2F479C9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基本信息</w:t>
            </w:r>
          </w:p>
        </w:tc>
        <w:tc>
          <w:tcPr>
            <w:tcW w:w="1168" w:type="pct"/>
            <w:gridSpan w:val="2"/>
            <w:vAlign w:val="center"/>
          </w:tcPr>
          <w:p w14:paraId="472269C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企业名称</w:t>
            </w:r>
          </w:p>
        </w:tc>
        <w:tc>
          <w:tcPr>
            <w:tcW w:w="3417" w:type="pct"/>
            <w:gridSpan w:val="6"/>
            <w:vAlign w:val="center"/>
          </w:tcPr>
          <w:p w14:paraId="749591F2">
            <w:pPr>
              <w:snapToGrid w:val="0"/>
              <w:spacing w:line="272" w:lineRule="auto"/>
              <w:jc w:val="center"/>
              <w:rPr>
                <w:rFonts w:hint="default" w:ascii="Times New Roman" w:hAnsi="Times New Roman" w:cs="Times New Roman"/>
                <w:sz w:val="18"/>
                <w:szCs w:val="18"/>
              </w:rPr>
            </w:pPr>
          </w:p>
        </w:tc>
      </w:tr>
      <w:tr w14:paraId="74E3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Pr>
          <w:p w14:paraId="4A11F6D9">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235E9AF9">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企业所属省份</w:t>
            </w:r>
          </w:p>
        </w:tc>
        <w:tc>
          <w:tcPr>
            <w:tcW w:w="3417" w:type="pct"/>
            <w:gridSpan w:val="6"/>
            <w:vAlign w:val="center"/>
          </w:tcPr>
          <w:p w14:paraId="51AA1FA4">
            <w:pPr>
              <w:snapToGrid w:val="0"/>
              <w:spacing w:line="272" w:lineRule="auto"/>
              <w:jc w:val="center"/>
              <w:rPr>
                <w:rFonts w:hint="default" w:ascii="Times New Roman" w:hAnsi="Times New Roman" w:cs="Times New Roman"/>
                <w:sz w:val="18"/>
                <w:szCs w:val="18"/>
              </w:rPr>
            </w:pPr>
          </w:p>
        </w:tc>
      </w:tr>
      <w:tr w14:paraId="6089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Pr>
          <w:p w14:paraId="68708B3C">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2C7018B1">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企业地址</w:t>
            </w:r>
          </w:p>
        </w:tc>
        <w:tc>
          <w:tcPr>
            <w:tcW w:w="3417" w:type="pct"/>
            <w:gridSpan w:val="6"/>
            <w:vAlign w:val="center"/>
          </w:tcPr>
          <w:p w14:paraId="39CB4555">
            <w:pPr>
              <w:snapToGrid w:val="0"/>
              <w:spacing w:line="272" w:lineRule="auto"/>
              <w:jc w:val="center"/>
              <w:rPr>
                <w:rFonts w:hint="default" w:ascii="Times New Roman" w:hAnsi="Times New Roman" w:cs="Times New Roman"/>
                <w:sz w:val="18"/>
                <w:szCs w:val="18"/>
              </w:rPr>
            </w:pPr>
          </w:p>
        </w:tc>
      </w:tr>
      <w:tr w14:paraId="1126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Pr>
          <w:p w14:paraId="5E822E05">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0423132A">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联系人及联系方式</w:t>
            </w:r>
          </w:p>
        </w:tc>
        <w:tc>
          <w:tcPr>
            <w:tcW w:w="3417" w:type="pct"/>
            <w:gridSpan w:val="6"/>
            <w:vAlign w:val="center"/>
          </w:tcPr>
          <w:p w14:paraId="7628DDC0">
            <w:pPr>
              <w:snapToGrid w:val="0"/>
              <w:spacing w:line="272" w:lineRule="auto"/>
              <w:jc w:val="center"/>
              <w:rPr>
                <w:rFonts w:hint="default" w:ascii="Times New Roman" w:hAnsi="Times New Roman" w:cs="Times New Roman"/>
                <w:sz w:val="18"/>
                <w:szCs w:val="18"/>
              </w:rPr>
            </w:pPr>
          </w:p>
        </w:tc>
      </w:tr>
      <w:tr w14:paraId="7347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Pr>
          <w:p w14:paraId="0439F689">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51009ABB">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生产线数量/设计产能</w:t>
            </w:r>
          </w:p>
        </w:tc>
        <w:tc>
          <w:tcPr>
            <w:tcW w:w="3417" w:type="pct"/>
            <w:gridSpan w:val="6"/>
            <w:vAlign w:val="center"/>
          </w:tcPr>
          <w:p w14:paraId="4261954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共_____条，设计产能：_____ / _____/ _____（分线填写）</w:t>
            </w:r>
          </w:p>
        </w:tc>
      </w:tr>
      <w:tr w14:paraId="43B9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Pr>
          <w:p w14:paraId="4C5F2148">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4018B52C">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数据统计周期</w:t>
            </w:r>
          </w:p>
        </w:tc>
        <w:tc>
          <w:tcPr>
            <w:tcW w:w="3417" w:type="pct"/>
            <w:gridSpan w:val="6"/>
            <w:vAlign w:val="center"/>
          </w:tcPr>
          <w:p w14:paraId="7B3918E9">
            <w:pPr>
              <w:snapToGrid w:val="0"/>
              <w:spacing w:line="272" w:lineRule="auto"/>
              <w:rPr>
                <w:rFonts w:hint="default" w:ascii="Times New Roman" w:hAnsi="Times New Roman" w:cs="Times New Roman"/>
                <w:sz w:val="18"/>
                <w:szCs w:val="18"/>
              </w:rPr>
            </w:pPr>
          </w:p>
        </w:tc>
      </w:tr>
      <w:tr w14:paraId="6D7FF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restart"/>
            <w:vAlign w:val="center"/>
          </w:tcPr>
          <w:p w14:paraId="1F84C884">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产品信息</w:t>
            </w:r>
          </w:p>
        </w:tc>
        <w:tc>
          <w:tcPr>
            <w:tcW w:w="1168" w:type="pct"/>
            <w:gridSpan w:val="2"/>
            <w:vAlign w:val="center"/>
          </w:tcPr>
          <w:p w14:paraId="7BF46F5B">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产品种类</w:t>
            </w:r>
            <w:r>
              <w:rPr>
                <w:rStyle w:val="43"/>
                <w:rFonts w:hint="default" w:ascii="Times New Roman" w:hAnsi="Times New Roman" w:cs="Times New Roman"/>
                <w:sz w:val="18"/>
                <w:szCs w:val="18"/>
              </w:rPr>
              <w:footnoteReference w:id="0"/>
            </w:r>
            <w:r>
              <w:rPr>
                <w:rFonts w:hint="default" w:ascii="Times New Roman" w:hAnsi="Times New Roman" w:cs="Times New Roman"/>
                <w:sz w:val="18"/>
                <w:szCs w:val="18"/>
                <w:vertAlign w:val="superscript"/>
              </w:rPr>
              <w:t>）</w:t>
            </w:r>
            <w:r>
              <w:rPr>
                <w:rFonts w:hint="default" w:ascii="Times New Roman" w:hAnsi="Times New Roman" w:cs="Times New Roman"/>
                <w:sz w:val="18"/>
                <w:szCs w:val="18"/>
              </w:rPr>
              <w:t>/实际产量</w:t>
            </w:r>
          </w:p>
        </w:tc>
        <w:tc>
          <w:tcPr>
            <w:tcW w:w="3417" w:type="pct"/>
            <w:gridSpan w:val="6"/>
            <w:vAlign w:val="center"/>
          </w:tcPr>
          <w:p w14:paraId="593B61C4">
            <w:pPr>
              <w:snapToGrid w:val="0"/>
              <w:spacing w:line="272" w:lineRule="auto"/>
              <w:rPr>
                <w:rFonts w:hint="default" w:ascii="Times New Roman" w:hAnsi="Times New Roman" w:cs="Times New Roman"/>
                <w:sz w:val="18"/>
                <w:szCs w:val="18"/>
              </w:rPr>
            </w:pPr>
            <w:r>
              <w:rPr>
                <w:rFonts w:hint="default" w:ascii="Times New Roman" w:hAnsi="Times New Roman" w:cs="Times New Roman"/>
                <w:sz w:val="18"/>
                <w:szCs w:val="18"/>
              </w:rPr>
              <w:t>种类1：</w:t>
            </w:r>
            <w:r>
              <w:rPr>
                <w:rFonts w:hint="default" w:ascii="Times New Roman" w:hAnsi="Times New Roman" w:cs="Times New Roman"/>
                <w:sz w:val="18"/>
                <w:szCs w:val="18"/>
                <w:u w:val="single"/>
              </w:rPr>
              <w:t xml:space="preserve">               </w:t>
            </w:r>
            <w:r>
              <w:rPr>
                <w:rFonts w:hint="default" w:ascii="Times New Roman" w:hAnsi="Times New Roman" w:cs="Times New Roman"/>
                <w:sz w:val="18"/>
                <w:szCs w:val="18"/>
              </w:rPr>
              <w:t>：产量</w:t>
            </w:r>
            <w:r>
              <w:rPr>
                <w:rFonts w:hint="default" w:ascii="Times New Roman" w:hAnsi="Times New Roman" w:cs="Times New Roman"/>
                <w:sz w:val="18"/>
                <w:szCs w:val="18"/>
                <w:u w:val="single"/>
              </w:rPr>
              <w:t xml:space="preserve">              </w:t>
            </w:r>
            <w:r>
              <w:rPr>
                <w:rFonts w:hint="default" w:ascii="Times New Roman" w:hAnsi="Times New Roman" w:cs="Times New Roman"/>
                <w:sz w:val="18"/>
                <w:szCs w:val="18"/>
              </w:rPr>
              <w:t>吨。</w:t>
            </w:r>
          </w:p>
          <w:p w14:paraId="79F86923">
            <w:pPr>
              <w:snapToGrid w:val="0"/>
              <w:spacing w:line="272" w:lineRule="auto"/>
              <w:rPr>
                <w:rFonts w:hint="default" w:ascii="Times New Roman" w:hAnsi="Times New Roman" w:cs="Times New Roman"/>
                <w:sz w:val="18"/>
                <w:szCs w:val="18"/>
              </w:rPr>
            </w:pPr>
            <w:r>
              <w:rPr>
                <w:rFonts w:hint="default" w:ascii="Times New Roman" w:hAnsi="Times New Roman" w:cs="Times New Roman"/>
                <w:sz w:val="18"/>
                <w:szCs w:val="18"/>
              </w:rPr>
              <w:t>种类2：</w:t>
            </w:r>
            <w:r>
              <w:rPr>
                <w:rFonts w:hint="default" w:ascii="Times New Roman" w:hAnsi="Times New Roman" w:cs="Times New Roman"/>
                <w:sz w:val="18"/>
                <w:szCs w:val="18"/>
                <w:u w:val="single"/>
              </w:rPr>
              <w:t xml:space="preserve">               </w:t>
            </w:r>
            <w:r>
              <w:rPr>
                <w:rFonts w:hint="default" w:ascii="Times New Roman" w:hAnsi="Times New Roman" w:cs="Times New Roman"/>
                <w:sz w:val="18"/>
                <w:szCs w:val="18"/>
              </w:rPr>
              <w:t>：产量</w:t>
            </w:r>
            <w:r>
              <w:rPr>
                <w:rFonts w:hint="default" w:ascii="Times New Roman" w:hAnsi="Times New Roman" w:cs="Times New Roman"/>
                <w:sz w:val="18"/>
                <w:szCs w:val="18"/>
                <w:u w:val="single"/>
              </w:rPr>
              <w:t xml:space="preserve">              </w:t>
            </w:r>
            <w:r>
              <w:rPr>
                <w:rFonts w:hint="default" w:ascii="Times New Roman" w:hAnsi="Times New Roman" w:cs="Times New Roman"/>
                <w:sz w:val="18"/>
                <w:szCs w:val="18"/>
              </w:rPr>
              <w:t>吨。</w:t>
            </w:r>
          </w:p>
          <w:p w14:paraId="20E8D3C3">
            <w:pPr>
              <w:snapToGrid w:val="0"/>
              <w:spacing w:line="272" w:lineRule="auto"/>
              <w:rPr>
                <w:rFonts w:hint="default" w:ascii="Times New Roman" w:hAnsi="Times New Roman" w:cs="Times New Roman"/>
                <w:sz w:val="18"/>
                <w:szCs w:val="18"/>
              </w:rPr>
            </w:pPr>
            <w:r>
              <w:rPr>
                <w:rFonts w:hint="default" w:ascii="Times New Roman" w:hAnsi="Times New Roman" w:cs="Times New Roman"/>
                <w:sz w:val="18"/>
                <w:szCs w:val="18"/>
              </w:rPr>
              <w:t>...</w:t>
            </w:r>
          </w:p>
        </w:tc>
      </w:tr>
      <w:tr w14:paraId="18ECF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73A7D87E">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7C22C9B1">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执行产品标准</w:t>
            </w:r>
          </w:p>
        </w:tc>
        <w:tc>
          <w:tcPr>
            <w:tcW w:w="3417" w:type="pct"/>
            <w:gridSpan w:val="6"/>
            <w:vAlign w:val="center"/>
          </w:tcPr>
          <w:p w14:paraId="40ADD0A3">
            <w:pPr>
              <w:snapToGrid w:val="0"/>
              <w:spacing w:line="272" w:lineRule="auto"/>
              <w:rPr>
                <w:rFonts w:hint="default" w:ascii="Times New Roman" w:hAnsi="Times New Roman" w:cs="Times New Roman"/>
                <w:sz w:val="18"/>
                <w:szCs w:val="18"/>
              </w:rPr>
            </w:pPr>
          </w:p>
        </w:tc>
      </w:tr>
      <w:tr w14:paraId="1BEA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9"/>
            <w:shd w:val="clear" w:color="auto" w:fill="BEBEBE" w:themeFill="background1" w:themeFillShade="BF"/>
            <w:vAlign w:val="center"/>
          </w:tcPr>
          <w:p w14:paraId="15505800">
            <w:pPr>
              <w:snapToGrid w:val="0"/>
              <w:spacing w:line="272" w:lineRule="auto"/>
              <w:rPr>
                <w:rFonts w:hint="default" w:ascii="Times New Roman" w:hAnsi="Times New Roman" w:cs="Times New Roman"/>
                <w:b/>
                <w:bCs/>
                <w:sz w:val="18"/>
                <w:szCs w:val="18"/>
              </w:rPr>
            </w:pPr>
            <w:r>
              <w:rPr>
                <w:rFonts w:hint="default" w:ascii="Times New Roman" w:hAnsi="Times New Roman" w:cs="Times New Roman"/>
                <w:b/>
                <w:bCs/>
                <w:sz w:val="18"/>
                <w:szCs w:val="18"/>
                <w:lang w:val="en-US" w:eastAsia="zh-CN"/>
              </w:rPr>
              <w:t>生产阶段</w:t>
            </w:r>
            <w:r>
              <w:rPr>
                <w:rFonts w:hint="default" w:ascii="Times New Roman" w:hAnsi="Times New Roman" w:cs="Times New Roman"/>
                <w:b/>
                <w:bCs/>
                <w:sz w:val="18"/>
                <w:szCs w:val="18"/>
              </w:rPr>
              <w:t>（A1-A3）</w:t>
            </w:r>
          </w:p>
        </w:tc>
      </w:tr>
      <w:tr w14:paraId="7085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restart"/>
            <w:vAlign w:val="center"/>
          </w:tcPr>
          <w:p w14:paraId="0513A069">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资源消耗及综合利用</w:t>
            </w:r>
          </w:p>
        </w:tc>
        <w:tc>
          <w:tcPr>
            <w:tcW w:w="1168" w:type="pct"/>
            <w:gridSpan w:val="2"/>
            <w:vAlign w:val="center"/>
          </w:tcPr>
          <w:p w14:paraId="311377A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种类</w:t>
            </w:r>
          </w:p>
        </w:tc>
        <w:tc>
          <w:tcPr>
            <w:tcW w:w="353" w:type="pct"/>
            <w:vAlign w:val="center"/>
          </w:tcPr>
          <w:p w14:paraId="2BDEACBB">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消耗量</w:t>
            </w:r>
          </w:p>
        </w:tc>
        <w:tc>
          <w:tcPr>
            <w:tcW w:w="528" w:type="pct"/>
            <w:vAlign w:val="center"/>
          </w:tcPr>
          <w:p w14:paraId="7F922F8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单位</w:t>
            </w:r>
          </w:p>
        </w:tc>
        <w:tc>
          <w:tcPr>
            <w:tcW w:w="496" w:type="pct"/>
            <w:vAlign w:val="center"/>
          </w:tcPr>
          <w:p w14:paraId="590F3DFD">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产地</w:t>
            </w:r>
          </w:p>
        </w:tc>
        <w:tc>
          <w:tcPr>
            <w:tcW w:w="623" w:type="pct"/>
            <w:vAlign w:val="center"/>
          </w:tcPr>
          <w:p w14:paraId="7C6E1B08">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取得方式</w:t>
            </w:r>
          </w:p>
          <w:p w14:paraId="34486A5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填写自产或外购</w:t>
            </w:r>
          </w:p>
        </w:tc>
        <w:tc>
          <w:tcPr>
            <w:tcW w:w="683" w:type="pct"/>
            <w:vAlign w:val="center"/>
          </w:tcPr>
          <w:p w14:paraId="42B8F062">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运输方式</w:t>
            </w:r>
          </w:p>
          <w:p w14:paraId="2EFB256A">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汽运、火车或船运</w:t>
            </w:r>
          </w:p>
        </w:tc>
        <w:tc>
          <w:tcPr>
            <w:tcW w:w="732" w:type="pct"/>
            <w:vAlign w:val="center"/>
          </w:tcPr>
          <w:p w14:paraId="59F8A76F">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加权运输距离/km</w:t>
            </w:r>
          </w:p>
        </w:tc>
      </w:tr>
      <w:tr w14:paraId="4AB0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139E8C1D">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1C0E8EBE">
            <w:pPr>
              <w:snapToGrid w:val="0"/>
              <w:spacing w:line="272" w:lineRule="auto"/>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石灰石</w:t>
            </w:r>
          </w:p>
        </w:tc>
        <w:tc>
          <w:tcPr>
            <w:tcW w:w="353" w:type="pct"/>
            <w:vAlign w:val="center"/>
          </w:tcPr>
          <w:p w14:paraId="3B9F3726">
            <w:pPr>
              <w:snapToGrid w:val="0"/>
              <w:spacing w:line="272" w:lineRule="auto"/>
              <w:jc w:val="center"/>
              <w:rPr>
                <w:rFonts w:hint="default" w:ascii="Times New Roman" w:hAnsi="Times New Roman" w:cs="Times New Roman"/>
                <w:sz w:val="18"/>
                <w:szCs w:val="18"/>
              </w:rPr>
            </w:pPr>
          </w:p>
        </w:tc>
        <w:tc>
          <w:tcPr>
            <w:tcW w:w="528" w:type="pct"/>
            <w:vAlign w:val="center"/>
          </w:tcPr>
          <w:p w14:paraId="2F03D89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t</w:t>
            </w:r>
          </w:p>
        </w:tc>
        <w:tc>
          <w:tcPr>
            <w:tcW w:w="496" w:type="pct"/>
            <w:vAlign w:val="center"/>
          </w:tcPr>
          <w:p w14:paraId="5D35C1A5">
            <w:pPr>
              <w:snapToGrid w:val="0"/>
              <w:spacing w:line="272" w:lineRule="auto"/>
              <w:jc w:val="center"/>
              <w:rPr>
                <w:rFonts w:hint="default" w:ascii="Times New Roman" w:hAnsi="Times New Roman" w:cs="Times New Roman"/>
                <w:sz w:val="18"/>
                <w:szCs w:val="18"/>
              </w:rPr>
            </w:pPr>
          </w:p>
        </w:tc>
        <w:tc>
          <w:tcPr>
            <w:tcW w:w="623" w:type="pct"/>
            <w:vAlign w:val="center"/>
          </w:tcPr>
          <w:p w14:paraId="1F5C91A0">
            <w:pPr>
              <w:snapToGrid w:val="0"/>
              <w:spacing w:line="272" w:lineRule="auto"/>
              <w:jc w:val="center"/>
              <w:rPr>
                <w:rFonts w:hint="default" w:ascii="Times New Roman" w:hAnsi="Times New Roman" w:cs="Times New Roman"/>
                <w:sz w:val="18"/>
                <w:szCs w:val="18"/>
              </w:rPr>
            </w:pPr>
          </w:p>
        </w:tc>
        <w:tc>
          <w:tcPr>
            <w:tcW w:w="683" w:type="pct"/>
            <w:vAlign w:val="center"/>
          </w:tcPr>
          <w:p w14:paraId="7BD3C6BC">
            <w:pPr>
              <w:snapToGrid w:val="0"/>
              <w:spacing w:line="272" w:lineRule="auto"/>
              <w:jc w:val="center"/>
              <w:rPr>
                <w:rFonts w:hint="default" w:ascii="Times New Roman" w:hAnsi="Times New Roman" w:cs="Times New Roman"/>
                <w:sz w:val="18"/>
                <w:szCs w:val="18"/>
              </w:rPr>
            </w:pPr>
          </w:p>
        </w:tc>
        <w:tc>
          <w:tcPr>
            <w:tcW w:w="732" w:type="pct"/>
            <w:vAlign w:val="center"/>
          </w:tcPr>
          <w:p w14:paraId="680D5DE2">
            <w:pPr>
              <w:snapToGrid w:val="0"/>
              <w:spacing w:line="272" w:lineRule="auto"/>
              <w:jc w:val="center"/>
              <w:rPr>
                <w:rFonts w:hint="default" w:ascii="Times New Roman" w:hAnsi="Times New Roman" w:cs="Times New Roman"/>
                <w:sz w:val="18"/>
                <w:szCs w:val="18"/>
              </w:rPr>
            </w:pPr>
          </w:p>
        </w:tc>
      </w:tr>
      <w:tr w14:paraId="5C54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13AFE541">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18289EF2">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353" w:type="pct"/>
            <w:vAlign w:val="center"/>
          </w:tcPr>
          <w:p w14:paraId="00425BEE">
            <w:pPr>
              <w:snapToGrid w:val="0"/>
              <w:spacing w:line="272" w:lineRule="auto"/>
              <w:jc w:val="center"/>
              <w:rPr>
                <w:rFonts w:hint="default" w:ascii="Times New Roman" w:hAnsi="Times New Roman" w:cs="Times New Roman"/>
                <w:sz w:val="18"/>
                <w:szCs w:val="18"/>
              </w:rPr>
            </w:pPr>
          </w:p>
        </w:tc>
        <w:tc>
          <w:tcPr>
            <w:tcW w:w="528" w:type="pct"/>
            <w:vAlign w:val="center"/>
          </w:tcPr>
          <w:p w14:paraId="61778EBC">
            <w:pPr>
              <w:snapToGrid w:val="0"/>
              <w:spacing w:line="272" w:lineRule="auto"/>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t</w:t>
            </w:r>
          </w:p>
        </w:tc>
        <w:tc>
          <w:tcPr>
            <w:tcW w:w="496" w:type="pct"/>
            <w:vAlign w:val="center"/>
          </w:tcPr>
          <w:p w14:paraId="52B452B6">
            <w:pPr>
              <w:snapToGrid w:val="0"/>
              <w:spacing w:line="272" w:lineRule="auto"/>
              <w:jc w:val="center"/>
              <w:rPr>
                <w:rFonts w:hint="default" w:ascii="Times New Roman" w:hAnsi="Times New Roman" w:cs="Times New Roman"/>
                <w:sz w:val="18"/>
                <w:szCs w:val="18"/>
              </w:rPr>
            </w:pPr>
          </w:p>
        </w:tc>
        <w:tc>
          <w:tcPr>
            <w:tcW w:w="623" w:type="pct"/>
            <w:vAlign w:val="center"/>
          </w:tcPr>
          <w:p w14:paraId="19F626F8">
            <w:pPr>
              <w:snapToGrid w:val="0"/>
              <w:spacing w:line="272" w:lineRule="auto"/>
              <w:jc w:val="center"/>
              <w:rPr>
                <w:rFonts w:hint="default" w:ascii="Times New Roman" w:hAnsi="Times New Roman" w:cs="Times New Roman"/>
                <w:sz w:val="18"/>
                <w:szCs w:val="18"/>
              </w:rPr>
            </w:pPr>
          </w:p>
        </w:tc>
        <w:tc>
          <w:tcPr>
            <w:tcW w:w="683" w:type="pct"/>
            <w:vAlign w:val="center"/>
          </w:tcPr>
          <w:p w14:paraId="478E24D9">
            <w:pPr>
              <w:snapToGrid w:val="0"/>
              <w:spacing w:line="272" w:lineRule="auto"/>
              <w:jc w:val="center"/>
              <w:rPr>
                <w:rFonts w:hint="default" w:ascii="Times New Roman" w:hAnsi="Times New Roman" w:cs="Times New Roman"/>
                <w:sz w:val="18"/>
                <w:szCs w:val="18"/>
              </w:rPr>
            </w:pPr>
          </w:p>
        </w:tc>
        <w:tc>
          <w:tcPr>
            <w:tcW w:w="732" w:type="pct"/>
            <w:vAlign w:val="center"/>
          </w:tcPr>
          <w:p w14:paraId="3412A1E9">
            <w:pPr>
              <w:snapToGrid w:val="0"/>
              <w:spacing w:line="272" w:lineRule="auto"/>
              <w:jc w:val="center"/>
              <w:rPr>
                <w:rFonts w:hint="default" w:ascii="Times New Roman" w:hAnsi="Times New Roman" w:cs="Times New Roman"/>
                <w:sz w:val="18"/>
                <w:szCs w:val="18"/>
              </w:rPr>
            </w:pPr>
          </w:p>
        </w:tc>
      </w:tr>
      <w:tr w14:paraId="66C8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5152A199">
            <w:pPr>
              <w:snapToGrid w:val="0"/>
              <w:spacing w:line="272" w:lineRule="auto"/>
              <w:jc w:val="center"/>
              <w:rPr>
                <w:rFonts w:hint="default" w:ascii="Times New Roman" w:hAnsi="Times New Roman" w:cs="Times New Roman"/>
                <w:sz w:val="18"/>
                <w:szCs w:val="18"/>
              </w:rPr>
            </w:pPr>
          </w:p>
        </w:tc>
        <w:tc>
          <w:tcPr>
            <w:tcW w:w="1168" w:type="pct"/>
            <w:gridSpan w:val="2"/>
            <w:tcBorders>
              <w:top w:val="single" w:color="auto" w:sz="4" w:space="0"/>
              <w:bottom w:val="single" w:color="auto" w:sz="4" w:space="0"/>
              <w:right w:val="single" w:color="auto" w:sz="4" w:space="0"/>
            </w:tcBorders>
            <w:vAlign w:val="center"/>
          </w:tcPr>
          <w:p w14:paraId="741C663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水</w:t>
            </w:r>
          </w:p>
        </w:tc>
        <w:tc>
          <w:tcPr>
            <w:tcW w:w="353" w:type="pct"/>
            <w:tcBorders>
              <w:top w:val="single" w:color="auto" w:sz="4" w:space="0"/>
              <w:left w:val="single" w:color="auto" w:sz="4" w:space="0"/>
              <w:bottom w:val="single" w:color="auto" w:sz="4" w:space="0"/>
              <w:right w:val="single" w:color="auto" w:sz="4" w:space="0"/>
            </w:tcBorders>
            <w:vAlign w:val="center"/>
          </w:tcPr>
          <w:p w14:paraId="38FA1113">
            <w:pPr>
              <w:snapToGrid w:val="0"/>
              <w:spacing w:line="272" w:lineRule="auto"/>
              <w:jc w:val="center"/>
              <w:rPr>
                <w:rFonts w:hint="default" w:ascii="Times New Roman" w:hAnsi="Times New Roman" w:cs="Times New Roman"/>
                <w:sz w:val="18"/>
                <w:szCs w:val="18"/>
              </w:rPr>
            </w:pPr>
          </w:p>
        </w:tc>
        <w:tc>
          <w:tcPr>
            <w:tcW w:w="528" w:type="pct"/>
            <w:tcBorders>
              <w:top w:val="single" w:color="auto" w:sz="4" w:space="0"/>
              <w:left w:val="single" w:color="auto" w:sz="4" w:space="0"/>
              <w:bottom w:val="single" w:color="auto" w:sz="4" w:space="0"/>
              <w:right w:val="single" w:color="auto" w:sz="4" w:space="0"/>
            </w:tcBorders>
            <w:vAlign w:val="center"/>
          </w:tcPr>
          <w:p w14:paraId="421A257E">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m</w:t>
            </w:r>
            <w:r>
              <w:rPr>
                <w:rFonts w:hint="default" w:ascii="Times New Roman" w:hAnsi="Times New Roman" w:cs="Times New Roman"/>
                <w:sz w:val="18"/>
                <w:szCs w:val="18"/>
                <w:vertAlign w:val="superscript"/>
              </w:rPr>
              <w:t>3</w:t>
            </w:r>
          </w:p>
        </w:tc>
        <w:tc>
          <w:tcPr>
            <w:tcW w:w="496" w:type="pct"/>
            <w:tcBorders>
              <w:top w:val="single" w:color="auto" w:sz="4" w:space="0"/>
              <w:left w:val="single" w:color="auto" w:sz="4" w:space="0"/>
              <w:bottom w:val="single" w:color="auto" w:sz="4" w:space="0"/>
              <w:right w:val="single" w:color="auto" w:sz="4" w:space="0"/>
            </w:tcBorders>
            <w:vAlign w:val="center"/>
          </w:tcPr>
          <w:p w14:paraId="66B158A0">
            <w:pPr>
              <w:snapToGrid w:val="0"/>
              <w:spacing w:line="272" w:lineRule="auto"/>
              <w:jc w:val="center"/>
              <w:rPr>
                <w:rFonts w:hint="default" w:ascii="Times New Roman" w:hAnsi="Times New Roman" w:cs="Times New Roman"/>
                <w:sz w:val="18"/>
                <w:szCs w:val="18"/>
              </w:rPr>
            </w:pPr>
          </w:p>
        </w:tc>
        <w:tc>
          <w:tcPr>
            <w:tcW w:w="2039" w:type="pct"/>
            <w:gridSpan w:val="3"/>
            <w:tcBorders>
              <w:top w:val="single" w:color="auto" w:sz="4" w:space="0"/>
              <w:left w:val="single" w:color="auto" w:sz="4" w:space="0"/>
              <w:bottom w:val="single" w:color="auto" w:sz="4" w:space="0"/>
              <w:right w:val="single" w:color="auto" w:sz="4" w:space="0"/>
            </w:tcBorders>
            <w:vAlign w:val="center"/>
          </w:tcPr>
          <w:p w14:paraId="7F0D62AB">
            <w:pPr>
              <w:snapToGrid w:val="0"/>
              <w:spacing w:line="272" w:lineRule="auto"/>
              <w:jc w:val="center"/>
              <w:rPr>
                <w:rFonts w:hint="default" w:ascii="Times New Roman" w:hAnsi="Times New Roman" w:cs="Times New Roman"/>
                <w:sz w:val="18"/>
                <w:szCs w:val="18"/>
                <w:u w:val="single"/>
              </w:rPr>
            </w:pPr>
            <w:r>
              <w:rPr>
                <w:rFonts w:hint="default" w:ascii="Times New Roman" w:hAnsi="Times New Roman" w:cs="Times New Roman"/>
                <w:sz w:val="18"/>
                <w:szCs w:val="18"/>
              </w:rPr>
              <w:t>说明来源（自来水、河水等）：</w:t>
            </w:r>
            <w:r>
              <w:rPr>
                <w:rFonts w:hint="default" w:ascii="Times New Roman" w:hAnsi="Times New Roman" w:cs="Times New Roman"/>
                <w:sz w:val="18"/>
                <w:szCs w:val="18"/>
                <w:u w:val="single"/>
              </w:rPr>
              <w:t xml:space="preserve">     </w:t>
            </w:r>
          </w:p>
        </w:tc>
      </w:tr>
      <w:tr w14:paraId="27F5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restart"/>
            <w:vAlign w:val="center"/>
          </w:tcPr>
          <w:p w14:paraId="3CF7E5FD">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能源消耗</w:t>
            </w:r>
          </w:p>
        </w:tc>
        <w:tc>
          <w:tcPr>
            <w:tcW w:w="1168" w:type="pct"/>
            <w:gridSpan w:val="2"/>
            <w:tcBorders>
              <w:top w:val="single" w:color="auto" w:sz="4" w:space="0"/>
            </w:tcBorders>
            <w:vAlign w:val="center"/>
          </w:tcPr>
          <w:p w14:paraId="11815C44">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种类</w:t>
            </w:r>
          </w:p>
        </w:tc>
        <w:tc>
          <w:tcPr>
            <w:tcW w:w="353" w:type="pct"/>
            <w:tcBorders>
              <w:top w:val="single" w:color="auto" w:sz="4" w:space="0"/>
            </w:tcBorders>
            <w:vAlign w:val="center"/>
          </w:tcPr>
          <w:p w14:paraId="28A575BD">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消耗量</w:t>
            </w:r>
          </w:p>
        </w:tc>
        <w:tc>
          <w:tcPr>
            <w:tcW w:w="528" w:type="pct"/>
            <w:tcBorders>
              <w:top w:val="single" w:color="auto" w:sz="4" w:space="0"/>
            </w:tcBorders>
            <w:vAlign w:val="center"/>
          </w:tcPr>
          <w:p w14:paraId="02AB67EC">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单位</w:t>
            </w:r>
          </w:p>
        </w:tc>
        <w:tc>
          <w:tcPr>
            <w:tcW w:w="1119" w:type="pct"/>
            <w:gridSpan w:val="2"/>
            <w:tcBorders>
              <w:top w:val="single" w:color="auto" w:sz="4" w:space="0"/>
            </w:tcBorders>
            <w:vAlign w:val="center"/>
          </w:tcPr>
          <w:p w14:paraId="0CD2CBF1">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低位发热量数据来源</w:t>
            </w:r>
          </w:p>
        </w:tc>
        <w:tc>
          <w:tcPr>
            <w:tcW w:w="1416" w:type="pct"/>
            <w:gridSpan w:val="2"/>
            <w:tcBorders>
              <w:top w:val="single" w:color="auto" w:sz="4" w:space="0"/>
            </w:tcBorders>
            <w:vAlign w:val="center"/>
          </w:tcPr>
          <w:p w14:paraId="05655688">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详细情况说明</w:t>
            </w:r>
          </w:p>
        </w:tc>
      </w:tr>
      <w:tr w14:paraId="07AE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06F176B4">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660BA104">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电力</w:t>
            </w:r>
          </w:p>
        </w:tc>
        <w:tc>
          <w:tcPr>
            <w:tcW w:w="353" w:type="pct"/>
            <w:vAlign w:val="center"/>
          </w:tcPr>
          <w:p w14:paraId="4CE72EA0">
            <w:pPr>
              <w:snapToGrid w:val="0"/>
              <w:spacing w:line="272" w:lineRule="auto"/>
              <w:jc w:val="center"/>
              <w:rPr>
                <w:rFonts w:hint="default" w:ascii="Times New Roman" w:hAnsi="Times New Roman" w:cs="Times New Roman"/>
                <w:sz w:val="18"/>
                <w:szCs w:val="18"/>
              </w:rPr>
            </w:pPr>
          </w:p>
        </w:tc>
        <w:tc>
          <w:tcPr>
            <w:tcW w:w="528" w:type="pct"/>
            <w:vAlign w:val="center"/>
          </w:tcPr>
          <w:p w14:paraId="2EE5F6FD">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kWh</w:t>
            </w:r>
          </w:p>
        </w:tc>
        <w:tc>
          <w:tcPr>
            <w:tcW w:w="1119" w:type="pct"/>
            <w:gridSpan w:val="2"/>
            <w:vAlign w:val="center"/>
          </w:tcPr>
          <w:p w14:paraId="49B5EA39">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4B1D53B0">
            <w:pPr>
              <w:snapToGrid w:val="0"/>
              <w:spacing w:line="272" w:lineRule="auto"/>
              <w:rPr>
                <w:rFonts w:hint="default" w:ascii="Times New Roman" w:hAnsi="Times New Roman" w:cs="Times New Roman"/>
                <w:sz w:val="18"/>
                <w:szCs w:val="18"/>
                <w:u w:val="single"/>
              </w:rPr>
            </w:pPr>
          </w:p>
        </w:tc>
      </w:tr>
      <w:tr w14:paraId="2E71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4C695767">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76FA66AE">
            <w:pPr>
              <w:snapToGrid w:val="0"/>
              <w:spacing w:line="272" w:lineRule="auto"/>
              <w:jc w:val="center"/>
              <w:rPr>
                <w:rFonts w:hint="eastAsia" w:ascii="Times New Roman" w:hAnsi="Times New Roman" w:eastAsia="宋体" w:cs="Times New Roman"/>
                <w:sz w:val="18"/>
                <w:szCs w:val="18"/>
                <w:lang w:val="en-US" w:eastAsia="zh-CN"/>
              </w:rPr>
            </w:pPr>
            <w:r>
              <w:rPr>
                <w:rFonts w:hint="eastAsia" w:cs="Times New Roman"/>
                <w:sz w:val="18"/>
                <w:szCs w:val="18"/>
                <w:lang w:val="en-US" w:eastAsia="zh-CN"/>
              </w:rPr>
              <w:t>煤</w:t>
            </w:r>
          </w:p>
        </w:tc>
        <w:tc>
          <w:tcPr>
            <w:tcW w:w="353" w:type="pct"/>
            <w:vAlign w:val="center"/>
          </w:tcPr>
          <w:p w14:paraId="55861603">
            <w:pPr>
              <w:snapToGrid w:val="0"/>
              <w:spacing w:line="272" w:lineRule="auto"/>
              <w:jc w:val="center"/>
              <w:rPr>
                <w:rFonts w:hint="default" w:ascii="Times New Roman" w:hAnsi="Times New Roman" w:cs="Times New Roman"/>
                <w:sz w:val="18"/>
                <w:szCs w:val="18"/>
              </w:rPr>
            </w:pPr>
          </w:p>
        </w:tc>
        <w:tc>
          <w:tcPr>
            <w:tcW w:w="528" w:type="pct"/>
            <w:vAlign w:val="center"/>
          </w:tcPr>
          <w:p w14:paraId="07A48684">
            <w:pPr>
              <w:snapToGrid w:val="0"/>
              <w:spacing w:line="272" w:lineRule="auto"/>
              <w:jc w:val="center"/>
              <w:rPr>
                <w:rFonts w:hint="default" w:cs="Times New Roman"/>
                <w:sz w:val="18"/>
                <w:szCs w:val="18"/>
                <w:lang w:val="en-US" w:eastAsia="zh-CN"/>
              </w:rPr>
            </w:pPr>
            <w:r>
              <w:rPr>
                <w:rFonts w:hint="eastAsia" w:cs="Times New Roman"/>
                <w:sz w:val="18"/>
                <w:szCs w:val="18"/>
                <w:lang w:val="en-US" w:eastAsia="zh-CN"/>
              </w:rPr>
              <w:t>t</w:t>
            </w:r>
          </w:p>
        </w:tc>
        <w:tc>
          <w:tcPr>
            <w:tcW w:w="1119" w:type="pct"/>
            <w:gridSpan w:val="2"/>
            <w:vAlign w:val="center"/>
          </w:tcPr>
          <w:p w14:paraId="6BD4787E">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09E3DB37">
            <w:pPr>
              <w:snapToGrid w:val="0"/>
              <w:spacing w:line="272" w:lineRule="auto"/>
              <w:jc w:val="left"/>
              <w:rPr>
                <w:rFonts w:hint="default" w:ascii="Times New Roman" w:hAnsi="Times New Roman" w:cs="Times New Roman"/>
                <w:sz w:val="18"/>
                <w:szCs w:val="18"/>
              </w:rPr>
            </w:pPr>
            <w:r>
              <w:rPr>
                <w:rFonts w:hint="default" w:ascii="Times New Roman" w:hAnsi="Times New Roman" w:cs="Times New Roman"/>
                <w:sz w:val="18"/>
                <w:szCs w:val="18"/>
              </w:rPr>
              <w:t>低位发热量：</w:t>
            </w:r>
            <w:r>
              <w:rPr>
                <w:rFonts w:hint="default" w:ascii="Times New Roman" w:hAnsi="Times New Roman" w:cs="Times New Roman"/>
                <w:sz w:val="18"/>
                <w:szCs w:val="18"/>
                <w:u w:val="single"/>
              </w:rPr>
              <w:t xml:space="preserve">         </w:t>
            </w:r>
          </w:p>
        </w:tc>
      </w:tr>
      <w:tr w14:paraId="3980F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78ABF08F">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2D88097B">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天然气</w:t>
            </w:r>
          </w:p>
        </w:tc>
        <w:tc>
          <w:tcPr>
            <w:tcW w:w="353" w:type="pct"/>
            <w:vAlign w:val="center"/>
          </w:tcPr>
          <w:p w14:paraId="74F7DECA">
            <w:pPr>
              <w:snapToGrid w:val="0"/>
              <w:spacing w:line="272" w:lineRule="auto"/>
              <w:jc w:val="center"/>
              <w:rPr>
                <w:rFonts w:hint="default" w:ascii="Times New Roman" w:hAnsi="Times New Roman" w:cs="Times New Roman"/>
                <w:sz w:val="18"/>
                <w:szCs w:val="18"/>
              </w:rPr>
            </w:pPr>
          </w:p>
        </w:tc>
        <w:tc>
          <w:tcPr>
            <w:tcW w:w="528" w:type="pct"/>
            <w:vAlign w:val="center"/>
          </w:tcPr>
          <w:p w14:paraId="224C88F9">
            <w:pPr>
              <w:snapToGrid w:val="0"/>
              <w:spacing w:line="272" w:lineRule="auto"/>
              <w:jc w:val="center"/>
              <w:rPr>
                <w:rFonts w:hint="default" w:ascii="Times New Roman" w:hAnsi="Times New Roman" w:cs="Times New Roman"/>
                <w:sz w:val="18"/>
                <w:szCs w:val="18"/>
              </w:rPr>
            </w:pPr>
            <w:r>
              <w:rPr>
                <w:rFonts w:hint="eastAsia" w:cs="Times New Roman"/>
                <w:sz w:val="18"/>
                <w:szCs w:val="18"/>
                <w:lang w:val="en-US" w:eastAsia="zh-CN"/>
              </w:rPr>
              <w:t>10</w:t>
            </w:r>
            <w:r>
              <w:rPr>
                <w:rFonts w:hint="eastAsia" w:cs="Times New Roman"/>
                <w:sz w:val="18"/>
                <w:szCs w:val="18"/>
                <w:vertAlign w:val="superscript"/>
                <w:lang w:val="en-US" w:eastAsia="zh-CN"/>
              </w:rPr>
              <w:t>4</w:t>
            </w:r>
            <w:r>
              <w:rPr>
                <w:rFonts w:hint="eastAsia" w:cs="Times New Roman"/>
                <w:sz w:val="18"/>
                <w:szCs w:val="18"/>
                <w:lang w:val="en-US" w:eastAsia="zh-CN"/>
              </w:rPr>
              <w:t>N</w:t>
            </w:r>
            <w:r>
              <w:rPr>
                <w:rFonts w:hint="default" w:ascii="Times New Roman" w:hAnsi="Times New Roman" w:cs="Times New Roman"/>
                <w:sz w:val="18"/>
                <w:szCs w:val="18"/>
              </w:rPr>
              <w:t>m</w:t>
            </w:r>
            <w:r>
              <w:rPr>
                <w:rFonts w:hint="default" w:ascii="Times New Roman" w:hAnsi="Times New Roman" w:cs="Times New Roman"/>
                <w:sz w:val="18"/>
                <w:szCs w:val="18"/>
                <w:vertAlign w:val="superscript"/>
              </w:rPr>
              <w:t>3</w:t>
            </w:r>
          </w:p>
        </w:tc>
        <w:tc>
          <w:tcPr>
            <w:tcW w:w="1119" w:type="pct"/>
            <w:gridSpan w:val="2"/>
            <w:vAlign w:val="center"/>
          </w:tcPr>
          <w:p w14:paraId="670345CC">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37C41186">
            <w:pPr>
              <w:snapToGrid w:val="0"/>
              <w:spacing w:line="272" w:lineRule="auto"/>
              <w:jc w:val="left"/>
              <w:rPr>
                <w:rFonts w:hint="default" w:ascii="Times New Roman" w:hAnsi="Times New Roman" w:cs="Times New Roman"/>
                <w:sz w:val="18"/>
                <w:szCs w:val="18"/>
              </w:rPr>
            </w:pPr>
          </w:p>
        </w:tc>
      </w:tr>
      <w:tr w14:paraId="32CC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2B1F97D0">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43C31EC7">
            <w:pPr>
              <w:snapToGrid w:val="0"/>
              <w:spacing w:line="272" w:lineRule="auto"/>
              <w:jc w:val="center"/>
              <w:rPr>
                <w:rFonts w:hint="default" w:ascii="Times New Roman" w:hAnsi="Times New Roman" w:cs="Times New Roman"/>
                <w:sz w:val="18"/>
                <w:szCs w:val="18"/>
                <w:u w:val="single"/>
              </w:rPr>
            </w:pPr>
            <w:r>
              <w:rPr>
                <w:rFonts w:hint="default" w:ascii="Times New Roman" w:hAnsi="Times New Roman" w:cs="Times New Roman"/>
                <w:sz w:val="18"/>
                <w:szCs w:val="18"/>
              </w:rPr>
              <w:t>柴油</w:t>
            </w:r>
          </w:p>
        </w:tc>
        <w:tc>
          <w:tcPr>
            <w:tcW w:w="353" w:type="pct"/>
            <w:vAlign w:val="center"/>
          </w:tcPr>
          <w:p w14:paraId="39280350">
            <w:pPr>
              <w:snapToGrid w:val="0"/>
              <w:spacing w:line="272" w:lineRule="auto"/>
              <w:jc w:val="center"/>
              <w:rPr>
                <w:rFonts w:hint="default" w:ascii="Times New Roman" w:hAnsi="Times New Roman" w:cs="Times New Roman"/>
                <w:sz w:val="18"/>
                <w:szCs w:val="18"/>
              </w:rPr>
            </w:pPr>
          </w:p>
        </w:tc>
        <w:tc>
          <w:tcPr>
            <w:tcW w:w="528" w:type="pct"/>
            <w:vAlign w:val="center"/>
          </w:tcPr>
          <w:p w14:paraId="5CA04E57">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t</w:t>
            </w:r>
          </w:p>
        </w:tc>
        <w:tc>
          <w:tcPr>
            <w:tcW w:w="1119" w:type="pct"/>
            <w:gridSpan w:val="2"/>
            <w:vAlign w:val="center"/>
          </w:tcPr>
          <w:p w14:paraId="4678866D">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6DC4CC81">
            <w:pPr>
              <w:snapToGrid w:val="0"/>
              <w:spacing w:line="272" w:lineRule="auto"/>
              <w:jc w:val="left"/>
              <w:rPr>
                <w:rFonts w:hint="default" w:ascii="Times New Roman" w:hAnsi="Times New Roman" w:cs="Times New Roman"/>
                <w:sz w:val="18"/>
                <w:szCs w:val="18"/>
                <w:u w:val="single"/>
              </w:rPr>
            </w:pPr>
          </w:p>
        </w:tc>
      </w:tr>
      <w:tr w14:paraId="61546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vAlign w:val="center"/>
          </w:tcPr>
          <w:p w14:paraId="28AFD393">
            <w:pPr>
              <w:snapToGrid w:val="0"/>
              <w:spacing w:line="272" w:lineRule="auto"/>
              <w:jc w:val="center"/>
              <w:rPr>
                <w:rFonts w:hint="default" w:ascii="Times New Roman" w:hAnsi="Times New Roman" w:cs="Times New Roman"/>
                <w:sz w:val="18"/>
                <w:szCs w:val="18"/>
              </w:rPr>
            </w:pPr>
          </w:p>
        </w:tc>
        <w:tc>
          <w:tcPr>
            <w:tcW w:w="1168" w:type="pct"/>
            <w:gridSpan w:val="2"/>
            <w:vAlign w:val="center"/>
          </w:tcPr>
          <w:p w14:paraId="7177AB7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353" w:type="pct"/>
            <w:vAlign w:val="center"/>
          </w:tcPr>
          <w:p w14:paraId="2157B9CE">
            <w:pPr>
              <w:snapToGrid w:val="0"/>
              <w:spacing w:line="272" w:lineRule="auto"/>
              <w:jc w:val="center"/>
              <w:rPr>
                <w:rFonts w:hint="default" w:ascii="Times New Roman" w:hAnsi="Times New Roman" w:cs="Times New Roman"/>
                <w:sz w:val="18"/>
                <w:szCs w:val="18"/>
              </w:rPr>
            </w:pPr>
          </w:p>
        </w:tc>
        <w:tc>
          <w:tcPr>
            <w:tcW w:w="528" w:type="pct"/>
            <w:vAlign w:val="center"/>
          </w:tcPr>
          <w:p w14:paraId="6F21AF45">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w:t>
            </w:r>
          </w:p>
        </w:tc>
        <w:tc>
          <w:tcPr>
            <w:tcW w:w="1119" w:type="pct"/>
            <w:gridSpan w:val="2"/>
            <w:vAlign w:val="center"/>
          </w:tcPr>
          <w:p w14:paraId="35582006">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5EB19310">
            <w:pPr>
              <w:snapToGrid w:val="0"/>
              <w:spacing w:line="272" w:lineRule="auto"/>
              <w:jc w:val="left"/>
              <w:rPr>
                <w:rFonts w:hint="default" w:ascii="Times New Roman" w:hAnsi="Times New Roman" w:cs="Times New Roman"/>
                <w:sz w:val="18"/>
                <w:szCs w:val="18"/>
              </w:rPr>
            </w:pPr>
          </w:p>
        </w:tc>
      </w:tr>
      <w:tr w14:paraId="64E4D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restart"/>
            <w:tcBorders>
              <w:top w:val="single" w:color="auto" w:sz="4" w:space="0"/>
              <w:left w:val="single" w:color="auto" w:sz="4" w:space="0"/>
              <w:right w:val="single" w:color="auto" w:sz="4" w:space="0"/>
            </w:tcBorders>
            <w:vAlign w:val="center"/>
          </w:tcPr>
          <w:p w14:paraId="706A7EF6">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环境排放</w:t>
            </w:r>
          </w:p>
        </w:tc>
        <w:tc>
          <w:tcPr>
            <w:tcW w:w="1168" w:type="pct"/>
            <w:gridSpan w:val="2"/>
            <w:tcBorders>
              <w:top w:val="single" w:color="auto" w:sz="4" w:space="0"/>
              <w:left w:val="single" w:color="auto" w:sz="4" w:space="0"/>
              <w:bottom w:val="single" w:color="auto" w:sz="4" w:space="0"/>
              <w:right w:val="single" w:color="auto" w:sz="4" w:space="0"/>
            </w:tcBorders>
            <w:vAlign w:val="center"/>
          </w:tcPr>
          <w:p w14:paraId="6CA73ED8">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种类</w:t>
            </w:r>
          </w:p>
        </w:tc>
        <w:tc>
          <w:tcPr>
            <w:tcW w:w="353" w:type="pct"/>
            <w:tcBorders>
              <w:top w:val="single" w:color="auto" w:sz="4" w:space="0"/>
              <w:left w:val="single" w:color="auto" w:sz="4" w:space="0"/>
              <w:bottom w:val="single" w:color="auto" w:sz="4" w:space="0"/>
              <w:right w:val="single" w:color="auto" w:sz="4" w:space="0"/>
            </w:tcBorders>
            <w:vAlign w:val="center"/>
          </w:tcPr>
          <w:p w14:paraId="493B2409">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排放量</w:t>
            </w:r>
          </w:p>
        </w:tc>
        <w:tc>
          <w:tcPr>
            <w:tcW w:w="528" w:type="pct"/>
            <w:tcBorders>
              <w:top w:val="single" w:color="auto" w:sz="4" w:space="0"/>
              <w:left w:val="single" w:color="auto" w:sz="4" w:space="0"/>
              <w:bottom w:val="single" w:color="auto" w:sz="4" w:space="0"/>
              <w:right w:val="single" w:color="auto" w:sz="4" w:space="0"/>
            </w:tcBorders>
            <w:vAlign w:val="center"/>
          </w:tcPr>
          <w:p w14:paraId="59383895">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单位</w:t>
            </w:r>
          </w:p>
        </w:tc>
        <w:tc>
          <w:tcPr>
            <w:tcW w:w="1119" w:type="pct"/>
            <w:gridSpan w:val="2"/>
            <w:tcBorders>
              <w:top w:val="single" w:color="auto" w:sz="4" w:space="0"/>
              <w:left w:val="single" w:color="auto" w:sz="4" w:space="0"/>
              <w:bottom w:val="single" w:color="auto" w:sz="4" w:space="0"/>
              <w:right w:val="single" w:color="auto" w:sz="4" w:space="0"/>
            </w:tcBorders>
            <w:vAlign w:val="center"/>
          </w:tcPr>
          <w:p w14:paraId="416FF246">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数据来源（如：在线监测或</w:t>
            </w:r>
          </w:p>
          <w:p w14:paraId="452BFFED">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定期环境检测报告）</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0C922076">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详细情况说明</w:t>
            </w:r>
          </w:p>
        </w:tc>
      </w:tr>
      <w:tr w14:paraId="76830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Borders>
              <w:left w:val="single" w:color="auto" w:sz="4" w:space="0"/>
              <w:right w:val="single" w:color="auto" w:sz="4" w:space="0"/>
            </w:tcBorders>
            <w:vAlign w:val="center"/>
          </w:tcPr>
          <w:p w14:paraId="7C246337">
            <w:pPr>
              <w:snapToGrid w:val="0"/>
              <w:spacing w:line="272" w:lineRule="auto"/>
              <w:jc w:val="center"/>
              <w:rPr>
                <w:rFonts w:hint="default" w:ascii="Times New Roman" w:hAnsi="Times New Roman" w:cs="Times New Roman"/>
                <w:sz w:val="18"/>
                <w:szCs w:val="18"/>
              </w:rPr>
            </w:pPr>
          </w:p>
        </w:tc>
        <w:tc>
          <w:tcPr>
            <w:tcW w:w="436" w:type="pct"/>
            <w:vMerge w:val="restart"/>
            <w:tcBorders>
              <w:top w:val="single" w:color="auto" w:sz="4" w:space="0"/>
              <w:left w:val="single" w:color="auto" w:sz="4" w:space="0"/>
            </w:tcBorders>
            <w:vAlign w:val="center"/>
          </w:tcPr>
          <w:p w14:paraId="0F6F01F8">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大气</w:t>
            </w:r>
          </w:p>
          <w:p w14:paraId="5B5EB42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排放</w:t>
            </w:r>
          </w:p>
        </w:tc>
        <w:tc>
          <w:tcPr>
            <w:tcW w:w="731" w:type="pct"/>
            <w:tcBorders>
              <w:top w:val="single" w:color="auto" w:sz="4" w:space="0"/>
            </w:tcBorders>
            <w:vAlign w:val="center"/>
          </w:tcPr>
          <w:p w14:paraId="50EEB585">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二氧化碳</w:t>
            </w:r>
          </w:p>
        </w:tc>
        <w:tc>
          <w:tcPr>
            <w:tcW w:w="353" w:type="pct"/>
            <w:tcBorders>
              <w:top w:val="single" w:color="auto" w:sz="4" w:space="0"/>
            </w:tcBorders>
            <w:vAlign w:val="center"/>
          </w:tcPr>
          <w:p w14:paraId="5A95562D">
            <w:pPr>
              <w:snapToGrid w:val="0"/>
              <w:spacing w:line="272" w:lineRule="auto"/>
              <w:jc w:val="center"/>
              <w:rPr>
                <w:rFonts w:hint="default" w:ascii="Times New Roman" w:hAnsi="Times New Roman" w:cs="Times New Roman"/>
                <w:sz w:val="18"/>
                <w:szCs w:val="18"/>
              </w:rPr>
            </w:pPr>
          </w:p>
        </w:tc>
        <w:tc>
          <w:tcPr>
            <w:tcW w:w="528" w:type="pct"/>
            <w:tcBorders>
              <w:top w:val="single" w:color="auto" w:sz="4" w:space="0"/>
            </w:tcBorders>
            <w:vAlign w:val="center"/>
          </w:tcPr>
          <w:p w14:paraId="228307FB">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t</w:t>
            </w:r>
          </w:p>
        </w:tc>
        <w:tc>
          <w:tcPr>
            <w:tcW w:w="1119" w:type="pct"/>
            <w:gridSpan w:val="2"/>
            <w:tcBorders>
              <w:top w:val="single" w:color="auto" w:sz="4" w:space="0"/>
            </w:tcBorders>
            <w:vAlign w:val="center"/>
          </w:tcPr>
          <w:p w14:paraId="3775B83F">
            <w:pPr>
              <w:snapToGrid w:val="0"/>
              <w:spacing w:line="272" w:lineRule="auto"/>
              <w:jc w:val="center"/>
              <w:rPr>
                <w:rFonts w:hint="default" w:ascii="Times New Roman" w:hAnsi="Times New Roman" w:cs="Times New Roman"/>
                <w:sz w:val="18"/>
                <w:szCs w:val="18"/>
              </w:rPr>
            </w:pPr>
          </w:p>
        </w:tc>
        <w:tc>
          <w:tcPr>
            <w:tcW w:w="1416" w:type="pct"/>
            <w:gridSpan w:val="2"/>
            <w:tcBorders>
              <w:top w:val="single" w:color="auto" w:sz="4" w:space="0"/>
            </w:tcBorders>
            <w:vAlign w:val="center"/>
          </w:tcPr>
          <w:p w14:paraId="59428D6F">
            <w:pPr>
              <w:snapToGrid w:val="0"/>
              <w:spacing w:line="272" w:lineRule="auto"/>
              <w:jc w:val="center"/>
              <w:rPr>
                <w:rFonts w:hint="default" w:ascii="Times New Roman" w:hAnsi="Times New Roman" w:cs="Times New Roman"/>
                <w:sz w:val="18"/>
                <w:szCs w:val="18"/>
              </w:rPr>
            </w:pPr>
          </w:p>
        </w:tc>
      </w:tr>
      <w:tr w14:paraId="411E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Borders>
              <w:left w:val="single" w:color="auto" w:sz="4" w:space="0"/>
              <w:right w:val="single" w:color="auto" w:sz="4" w:space="0"/>
            </w:tcBorders>
            <w:vAlign w:val="center"/>
          </w:tcPr>
          <w:p w14:paraId="34EC3728">
            <w:pPr>
              <w:pStyle w:val="26"/>
              <w:snapToGrid w:val="0"/>
              <w:spacing w:line="272" w:lineRule="auto"/>
              <w:ind w:firstLine="0" w:firstLineChars="0"/>
              <w:jc w:val="center"/>
              <w:rPr>
                <w:rFonts w:hint="default" w:ascii="Times New Roman" w:hAnsi="Times New Roman" w:cs="Times New Roman"/>
                <w:sz w:val="18"/>
                <w:szCs w:val="18"/>
              </w:rPr>
            </w:pPr>
          </w:p>
        </w:tc>
        <w:tc>
          <w:tcPr>
            <w:tcW w:w="436" w:type="pct"/>
            <w:vMerge w:val="continue"/>
            <w:tcBorders>
              <w:left w:val="single" w:color="auto" w:sz="4" w:space="0"/>
            </w:tcBorders>
            <w:vAlign w:val="center"/>
          </w:tcPr>
          <w:p w14:paraId="6B8CFA94">
            <w:pPr>
              <w:pStyle w:val="26"/>
              <w:snapToGrid w:val="0"/>
              <w:spacing w:line="272" w:lineRule="auto"/>
              <w:ind w:firstLine="0" w:firstLineChars="0"/>
              <w:jc w:val="center"/>
              <w:rPr>
                <w:rFonts w:hint="default" w:ascii="Times New Roman" w:hAnsi="Times New Roman" w:cs="Times New Roman"/>
                <w:sz w:val="18"/>
                <w:szCs w:val="18"/>
              </w:rPr>
            </w:pPr>
          </w:p>
        </w:tc>
        <w:tc>
          <w:tcPr>
            <w:tcW w:w="731" w:type="pct"/>
            <w:vAlign w:val="center"/>
          </w:tcPr>
          <w:p w14:paraId="7EC3947F">
            <w:pPr>
              <w:pStyle w:val="26"/>
              <w:snapToGrid w:val="0"/>
              <w:spacing w:line="272" w:lineRule="auto"/>
              <w:ind w:firstLine="0" w:firstLineChars="0"/>
              <w:jc w:val="center"/>
              <w:rPr>
                <w:rFonts w:hint="default" w:ascii="Times New Roman" w:hAnsi="Times New Roman" w:cs="Times New Roman"/>
                <w:sz w:val="18"/>
                <w:szCs w:val="18"/>
                <w:u w:val="single"/>
              </w:rPr>
            </w:pPr>
            <w:r>
              <w:rPr>
                <w:rFonts w:hint="default" w:ascii="Times New Roman" w:hAnsi="Times New Roman" w:cs="Times New Roman"/>
                <w:sz w:val="18"/>
                <w:szCs w:val="18"/>
              </w:rPr>
              <w:t>……</w:t>
            </w:r>
          </w:p>
        </w:tc>
        <w:tc>
          <w:tcPr>
            <w:tcW w:w="353" w:type="pct"/>
            <w:vAlign w:val="center"/>
          </w:tcPr>
          <w:p w14:paraId="6CCDC7E7">
            <w:pPr>
              <w:pStyle w:val="26"/>
              <w:snapToGrid w:val="0"/>
              <w:spacing w:line="272" w:lineRule="auto"/>
              <w:ind w:firstLine="360"/>
              <w:jc w:val="center"/>
              <w:rPr>
                <w:rFonts w:hint="default" w:ascii="Times New Roman" w:hAnsi="Times New Roman" w:cs="Times New Roman"/>
                <w:sz w:val="18"/>
                <w:szCs w:val="18"/>
              </w:rPr>
            </w:pPr>
          </w:p>
        </w:tc>
        <w:tc>
          <w:tcPr>
            <w:tcW w:w="528" w:type="pct"/>
            <w:vAlign w:val="center"/>
          </w:tcPr>
          <w:p w14:paraId="6792BF03">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t</w:t>
            </w:r>
          </w:p>
        </w:tc>
        <w:tc>
          <w:tcPr>
            <w:tcW w:w="1119" w:type="pct"/>
            <w:gridSpan w:val="2"/>
            <w:vAlign w:val="center"/>
          </w:tcPr>
          <w:p w14:paraId="74D1567A">
            <w:pPr>
              <w:snapToGrid w:val="0"/>
              <w:spacing w:line="272" w:lineRule="auto"/>
              <w:jc w:val="center"/>
              <w:rPr>
                <w:rFonts w:hint="default" w:ascii="Times New Roman" w:hAnsi="Times New Roman" w:cs="Times New Roman"/>
                <w:sz w:val="18"/>
                <w:szCs w:val="18"/>
              </w:rPr>
            </w:pPr>
          </w:p>
        </w:tc>
        <w:tc>
          <w:tcPr>
            <w:tcW w:w="1416" w:type="pct"/>
            <w:gridSpan w:val="2"/>
            <w:vAlign w:val="center"/>
          </w:tcPr>
          <w:p w14:paraId="00ABA8B5">
            <w:pPr>
              <w:snapToGrid w:val="0"/>
              <w:spacing w:line="272" w:lineRule="auto"/>
              <w:jc w:val="center"/>
              <w:rPr>
                <w:rFonts w:hint="default" w:ascii="Times New Roman" w:hAnsi="Times New Roman" w:cs="Times New Roman"/>
                <w:sz w:val="18"/>
                <w:szCs w:val="18"/>
              </w:rPr>
            </w:pPr>
          </w:p>
        </w:tc>
      </w:tr>
      <w:tr w14:paraId="12260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13" w:type="pct"/>
            <w:vMerge w:val="continue"/>
            <w:tcBorders>
              <w:left w:val="single" w:color="auto" w:sz="4" w:space="0"/>
              <w:right w:val="single" w:color="auto" w:sz="4" w:space="0"/>
            </w:tcBorders>
            <w:vAlign w:val="center"/>
          </w:tcPr>
          <w:p w14:paraId="6BD340FC">
            <w:pPr>
              <w:snapToGrid w:val="0"/>
              <w:spacing w:line="272" w:lineRule="auto"/>
              <w:jc w:val="center"/>
              <w:rPr>
                <w:rFonts w:hint="default" w:ascii="Times New Roman" w:hAnsi="Times New Roman" w:cs="Times New Roman"/>
                <w:sz w:val="18"/>
                <w:szCs w:val="18"/>
              </w:rPr>
            </w:pPr>
          </w:p>
        </w:tc>
        <w:tc>
          <w:tcPr>
            <w:tcW w:w="436" w:type="pct"/>
            <w:tcBorders>
              <w:left w:val="single" w:color="auto" w:sz="4" w:space="0"/>
            </w:tcBorders>
            <w:vAlign w:val="center"/>
          </w:tcPr>
          <w:p w14:paraId="3C49ADA4">
            <w:pPr>
              <w:snapToGrid w:val="0"/>
              <w:spacing w:line="272" w:lineRule="auto"/>
              <w:jc w:val="center"/>
              <w:rPr>
                <w:rFonts w:hint="default" w:ascii="Times New Roman" w:hAnsi="Times New Roman" w:cs="Times New Roman"/>
                <w:sz w:val="18"/>
                <w:szCs w:val="18"/>
              </w:rPr>
            </w:pPr>
            <w:r>
              <w:rPr>
                <w:rFonts w:hint="default" w:ascii="Times New Roman" w:hAnsi="Times New Roman" w:cs="Times New Roman"/>
                <w:sz w:val="18"/>
                <w:szCs w:val="18"/>
              </w:rPr>
              <w:t>固体废物排放</w:t>
            </w:r>
          </w:p>
        </w:tc>
        <w:tc>
          <w:tcPr>
            <w:tcW w:w="731" w:type="pct"/>
            <w:tcBorders>
              <w:left w:val="single" w:color="auto" w:sz="4" w:space="0"/>
            </w:tcBorders>
            <w:vAlign w:val="center"/>
          </w:tcPr>
          <w:p w14:paraId="4EC3D68A">
            <w:pPr>
              <w:snapToGrid w:val="0"/>
              <w:spacing w:line="272" w:lineRule="auto"/>
              <w:jc w:val="left"/>
              <w:rPr>
                <w:rFonts w:hint="default" w:ascii="Times New Roman" w:hAnsi="Times New Roman" w:cs="Times New Roman"/>
                <w:sz w:val="18"/>
                <w:szCs w:val="18"/>
              </w:rPr>
            </w:pPr>
          </w:p>
        </w:tc>
        <w:tc>
          <w:tcPr>
            <w:tcW w:w="353" w:type="pct"/>
            <w:vAlign w:val="center"/>
          </w:tcPr>
          <w:p w14:paraId="044F9CDE">
            <w:pPr>
              <w:snapToGrid w:val="0"/>
              <w:spacing w:line="272" w:lineRule="auto"/>
              <w:jc w:val="center"/>
              <w:rPr>
                <w:rFonts w:hint="default" w:ascii="Times New Roman" w:hAnsi="Times New Roman" w:cs="Times New Roman"/>
                <w:sz w:val="18"/>
                <w:szCs w:val="18"/>
              </w:rPr>
            </w:pPr>
          </w:p>
        </w:tc>
        <w:tc>
          <w:tcPr>
            <w:tcW w:w="528" w:type="pct"/>
            <w:vAlign w:val="center"/>
          </w:tcPr>
          <w:p w14:paraId="643CE9DE">
            <w:pPr>
              <w:snapToGrid w:val="0"/>
              <w:spacing w:line="272" w:lineRule="auto"/>
              <w:jc w:val="center"/>
              <w:rPr>
                <w:rFonts w:hint="default" w:ascii="Times New Roman" w:hAnsi="Times New Roman" w:cs="Times New Roman"/>
                <w:sz w:val="18"/>
                <w:szCs w:val="18"/>
              </w:rPr>
            </w:pPr>
          </w:p>
        </w:tc>
        <w:tc>
          <w:tcPr>
            <w:tcW w:w="1119" w:type="pct"/>
            <w:gridSpan w:val="2"/>
            <w:vAlign w:val="center"/>
          </w:tcPr>
          <w:p w14:paraId="541613AB">
            <w:pPr>
              <w:snapToGrid w:val="0"/>
              <w:spacing w:line="272" w:lineRule="auto"/>
              <w:jc w:val="center"/>
              <w:rPr>
                <w:rFonts w:hint="default" w:ascii="Times New Roman" w:hAnsi="Times New Roman" w:cs="Times New Roman"/>
                <w:sz w:val="18"/>
                <w:szCs w:val="18"/>
              </w:rPr>
            </w:pPr>
          </w:p>
        </w:tc>
        <w:tc>
          <w:tcPr>
            <w:tcW w:w="1416" w:type="pct"/>
            <w:gridSpan w:val="2"/>
            <w:tcBorders>
              <w:right w:val="single" w:color="auto" w:sz="4" w:space="0"/>
            </w:tcBorders>
            <w:vAlign w:val="center"/>
          </w:tcPr>
          <w:p w14:paraId="5FCDD57B">
            <w:pPr>
              <w:snapToGrid w:val="0"/>
              <w:spacing w:line="272" w:lineRule="auto"/>
              <w:jc w:val="center"/>
              <w:rPr>
                <w:rFonts w:hint="default" w:ascii="Times New Roman" w:hAnsi="Times New Roman" w:cs="Times New Roman"/>
                <w:sz w:val="18"/>
                <w:szCs w:val="18"/>
              </w:rPr>
            </w:pPr>
          </w:p>
        </w:tc>
      </w:tr>
    </w:tbl>
    <w:p w14:paraId="6C55E762">
      <w:pPr>
        <w:widowControl/>
        <w:spacing w:line="276" w:lineRule="auto"/>
        <w:jc w:val="left"/>
        <w:rPr>
          <w:szCs w:val="21"/>
        </w:rPr>
      </w:pPr>
      <w:r>
        <w:rPr>
          <w:szCs w:val="21"/>
        </w:rPr>
        <w:br w:type="page"/>
      </w:r>
    </w:p>
    <w:p w14:paraId="27C99CC4">
      <w:pPr>
        <w:spacing w:line="276" w:lineRule="auto"/>
        <w:jc w:val="center"/>
        <w:outlineLvl w:val="0"/>
        <w:rPr>
          <w:sz w:val="24"/>
        </w:rPr>
      </w:pPr>
      <w:bookmarkStart w:id="46" w:name="_Toc25771"/>
      <w:r>
        <w:rPr>
          <w:sz w:val="28"/>
          <w:szCs w:val="32"/>
        </w:rPr>
        <w:t>附录C</w:t>
      </w:r>
      <w:r>
        <w:rPr>
          <w:sz w:val="28"/>
          <w:szCs w:val="32"/>
        </w:rPr>
        <w:br w:type="textWrapping"/>
      </w:r>
      <w:r>
        <w:rPr>
          <w:sz w:val="24"/>
        </w:rPr>
        <w:t>（资料性）</w:t>
      </w:r>
      <w:r>
        <w:rPr>
          <w:sz w:val="24"/>
        </w:rPr>
        <w:br w:type="textWrapping"/>
      </w:r>
      <w:r>
        <w:rPr>
          <w:sz w:val="24"/>
        </w:rPr>
        <w:t>次级数据采集信息</w:t>
      </w:r>
      <w:bookmarkEnd w:id="46"/>
    </w:p>
    <w:p w14:paraId="76565A1C">
      <w:pPr>
        <w:spacing w:line="276" w:lineRule="auto"/>
        <w:jc w:val="left"/>
        <w:rPr>
          <w:szCs w:val="21"/>
        </w:rPr>
      </w:pPr>
      <w:r>
        <w:rPr>
          <w:szCs w:val="21"/>
        </w:rPr>
        <w:t>C.1 次级数据采集表见表C.1。</w:t>
      </w:r>
    </w:p>
    <w:p w14:paraId="3A7C038D">
      <w:pPr>
        <w:pStyle w:val="135"/>
        <w:spacing w:beforeLines="0" w:afterLines="0" w:line="276" w:lineRule="auto"/>
        <w:rPr>
          <w:rFonts w:ascii="Times New Roman" w:eastAsia="宋体"/>
          <w:kern w:val="2"/>
          <w:szCs w:val="21"/>
        </w:rPr>
      </w:pPr>
      <w:r>
        <w:rPr>
          <w:rFonts w:ascii="Times New Roman" w:eastAsia="宋体"/>
          <w:kern w:val="2"/>
          <w:szCs w:val="21"/>
        </w:rPr>
        <w:t>表C.1 次级数据采集表</w:t>
      </w:r>
    </w:p>
    <w:tbl>
      <w:tblPr>
        <w:tblStyle w:val="35"/>
        <w:tblW w:w="45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296"/>
        <w:gridCol w:w="1375"/>
        <w:gridCol w:w="1375"/>
        <w:gridCol w:w="1375"/>
        <w:gridCol w:w="1375"/>
        <w:gridCol w:w="1366"/>
      </w:tblGrid>
      <w:tr w14:paraId="049D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4" w:type="pct"/>
            <w:gridSpan w:val="2"/>
            <w:vAlign w:val="center"/>
          </w:tcPr>
          <w:p w14:paraId="79A64512">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次级数据</w:t>
            </w:r>
          </w:p>
        </w:tc>
        <w:tc>
          <w:tcPr>
            <w:tcW w:w="764" w:type="pct"/>
            <w:vAlign w:val="center"/>
          </w:tcPr>
          <w:p w14:paraId="1EBB81A1">
            <w:pPr>
              <w:spacing w:line="240" w:lineRule="auto"/>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数据来源</w:t>
            </w:r>
          </w:p>
        </w:tc>
        <w:tc>
          <w:tcPr>
            <w:tcW w:w="764" w:type="pct"/>
            <w:vAlign w:val="center"/>
          </w:tcPr>
          <w:p w14:paraId="2195D6F9">
            <w:pPr>
              <w:spacing w:line="240" w:lineRule="auto"/>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数据获取方式</w:t>
            </w:r>
          </w:p>
        </w:tc>
        <w:tc>
          <w:tcPr>
            <w:tcW w:w="764" w:type="pct"/>
            <w:vAlign w:val="center"/>
          </w:tcPr>
          <w:p w14:paraId="4694E273">
            <w:pPr>
              <w:spacing w:line="240" w:lineRule="auto"/>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时间相关性</w:t>
            </w:r>
          </w:p>
        </w:tc>
        <w:tc>
          <w:tcPr>
            <w:tcW w:w="764" w:type="pct"/>
            <w:vAlign w:val="center"/>
          </w:tcPr>
          <w:p w14:paraId="441DAC8A">
            <w:pPr>
              <w:spacing w:line="240" w:lineRule="auto"/>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lang w:eastAsia="zh-CN"/>
              </w:rPr>
              <w:t>区域</w:t>
            </w:r>
            <w:r>
              <w:rPr>
                <w:rFonts w:hint="default" w:ascii="Times New Roman" w:hAnsi="Times New Roman" w:cs="Times New Roman" w:eastAsiaTheme="minorEastAsia"/>
                <w:sz w:val="18"/>
                <w:szCs w:val="18"/>
              </w:rPr>
              <w:t>相关性</w:t>
            </w:r>
          </w:p>
        </w:tc>
        <w:tc>
          <w:tcPr>
            <w:tcW w:w="759" w:type="pct"/>
            <w:vAlign w:val="center"/>
          </w:tcPr>
          <w:p w14:paraId="1F027986">
            <w:pPr>
              <w:spacing w:line="240" w:lineRule="auto"/>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技术相关性</w:t>
            </w:r>
          </w:p>
        </w:tc>
      </w:tr>
      <w:tr w14:paraId="6466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restart"/>
            <w:vAlign w:val="center"/>
          </w:tcPr>
          <w:p w14:paraId="16422B73">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资源</w:t>
            </w:r>
          </w:p>
        </w:tc>
        <w:tc>
          <w:tcPr>
            <w:tcW w:w="720" w:type="pct"/>
            <w:vAlign w:val="center"/>
          </w:tcPr>
          <w:p w14:paraId="1B836A8C">
            <w:pPr>
              <w:spacing w:line="240" w:lineRule="auto"/>
              <w:jc w:val="center"/>
              <w:rPr>
                <w:rFonts w:hint="eastAsia"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石灰石</w:t>
            </w:r>
          </w:p>
        </w:tc>
        <w:tc>
          <w:tcPr>
            <w:tcW w:w="764" w:type="pct"/>
            <w:vAlign w:val="center"/>
          </w:tcPr>
          <w:p w14:paraId="77ACCA92">
            <w:pPr>
              <w:spacing w:line="240" w:lineRule="auto"/>
              <w:jc w:val="center"/>
              <w:rPr>
                <w:rFonts w:hint="default" w:ascii="Times New Roman" w:hAnsi="Times New Roman" w:cs="Times New Roman"/>
                <w:sz w:val="18"/>
                <w:szCs w:val="18"/>
              </w:rPr>
            </w:pPr>
          </w:p>
        </w:tc>
        <w:tc>
          <w:tcPr>
            <w:tcW w:w="764" w:type="pct"/>
            <w:vAlign w:val="center"/>
          </w:tcPr>
          <w:p w14:paraId="3B81C2C5">
            <w:pPr>
              <w:spacing w:line="240" w:lineRule="auto"/>
              <w:jc w:val="center"/>
              <w:rPr>
                <w:rFonts w:hint="default" w:ascii="Times New Roman" w:hAnsi="Times New Roman" w:cs="Times New Roman"/>
                <w:sz w:val="18"/>
                <w:szCs w:val="18"/>
              </w:rPr>
            </w:pPr>
          </w:p>
        </w:tc>
        <w:tc>
          <w:tcPr>
            <w:tcW w:w="764" w:type="pct"/>
            <w:vAlign w:val="center"/>
          </w:tcPr>
          <w:p w14:paraId="50E7A046">
            <w:pPr>
              <w:spacing w:line="240" w:lineRule="auto"/>
              <w:jc w:val="center"/>
              <w:rPr>
                <w:rFonts w:hint="default" w:ascii="Times New Roman" w:hAnsi="Times New Roman" w:cs="Times New Roman"/>
                <w:sz w:val="18"/>
                <w:szCs w:val="18"/>
              </w:rPr>
            </w:pPr>
          </w:p>
        </w:tc>
        <w:tc>
          <w:tcPr>
            <w:tcW w:w="764" w:type="pct"/>
            <w:vAlign w:val="center"/>
          </w:tcPr>
          <w:p w14:paraId="5B41DC9F">
            <w:pPr>
              <w:spacing w:line="240" w:lineRule="auto"/>
              <w:jc w:val="center"/>
              <w:rPr>
                <w:rFonts w:hint="default" w:ascii="Times New Roman" w:hAnsi="Times New Roman" w:cs="Times New Roman"/>
                <w:sz w:val="18"/>
                <w:szCs w:val="18"/>
              </w:rPr>
            </w:pPr>
          </w:p>
        </w:tc>
        <w:tc>
          <w:tcPr>
            <w:tcW w:w="759" w:type="pct"/>
            <w:vAlign w:val="center"/>
          </w:tcPr>
          <w:p w14:paraId="434302A6">
            <w:pPr>
              <w:spacing w:line="240" w:lineRule="auto"/>
              <w:jc w:val="center"/>
              <w:rPr>
                <w:rFonts w:hint="default" w:ascii="Times New Roman" w:hAnsi="Times New Roman" w:cs="Times New Roman"/>
                <w:sz w:val="18"/>
                <w:szCs w:val="18"/>
              </w:rPr>
            </w:pPr>
          </w:p>
        </w:tc>
      </w:tr>
      <w:tr w14:paraId="07E7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3654D7D4">
            <w:pPr>
              <w:spacing w:line="240" w:lineRule="auto"/>
              <w:jc w:val="center"/>
              <w:rPr>
                <w:rFonts w:hint="default" w:ascii="Times New Roman" w:hAnsi="Times New Roman" w:cs="Times New Roman"/>
                <w:sz w:val="18"/>
                <w:szCs w:val="18"/>
              </w:rPr>
            </w:pPr>
          </w:p>
        </w:tc>
        <w:tc>
          <w:tcPr>
            <w:tcW w:w="720" w:type="pct"/>
            <w:vAlign w:val="center"/>
          </w:tcPr>
          <w:p w14:paraId="5222F25C">
            <w:pPr>
              <w:spacing w:line="240" w:lineRule="auto"/>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eastAsia="zh-CN"/>
              </w:rPr>
              <w:t>……</w:t>
            </w:r>
          </w:p>
        </w:tc>
        <w:tc>
          <w:tcPr>
            <w:tcW w:w="764" w:type="pct"/>
            <w:vAlign w:val="center"/>
          </w:tcPr>
          <w:p w14:paraId="1E3E456A">
            <w:pPr>
              <w:spacing w:line="240" w:lineRule="auto"/>
              <w:jc w:val="center"/>
              <w:rPr>
                <w:rFonts w:hint="default" w:ascii="Times New Roman" w:hAnsi="Times New Roman" w:cs="Times New Roman"/>
                <w:sz w:val="18"/>
                <w:szCs w:val="18"/>
              </w:rPr>
            </w:pPr>
          </w:p>
        </w:tc>
        <w:tc>
          <w:tcPr>
            <w:tcW w:w="764" w:type="pct"/>
            <w:vAlign w:val="center"/>
          </w:tcPr>
          <w:p w14:paraId="6F0EED54">
            <w:pPr>
              <w:spacing w:line="240" w:lineRule="auto"/>
              <w:jc w:val="center"/>
              <w:rPr>
                <w:rFonts w:hint="default" w:ascii="Times New Roman" w:hAnsi="Times New Roman" w:cs="Times New Roman"/>
                <w:sz w:val="18"/>
                <w:szCs w:val="18"/>
              </w:rPr>
            </w:pPr>
          </w:p>
        </w:tc>
        <w:tc>
          <w:tcPr>
            <w:tcW w:w="764" w:type="pct"/>
            <w:vAlign w:val="center"/>
          </w:tcPr>
          <w:p w14:paraId="02A33458">
            <w:pPr>
              <w:spacing w:line="240" w:lineRule="auto"/>
              <w:jc w:val="center"/>
              <w:rPr>
                <w:rFonts w:hint="default" w:ascii="Times New Roman" w:hAnsi="Times New Roman" w:cs="Times New Roman"/>
                <w:sz w:val="18"/>
                <w:szCs w:val="18"/>
              </w:rPr>
            </w:pPr>
          </w:p>
        </w:tc>
        <w:tc>
          <w:tcPr>
            <w:tcW w:w="764" w:type="pct"/>
            <w:vAlign w:val="center"/>
          </w:tcPr>
          <w:p w14:paraId="1366D338">
            <w:pPr>
              <w:spacing w:line="240" w:lineRule="auto"/>
              <w:jc w:val="center"/>
              <w:rPr>
                <w:rFonts w:hint="default" w:ascii="Times New Roman" w:hAnsi="Times New Roman" w:cs="Times New Roman"/>
                <w:sz w:val="18"/>
                <w:szCs w:val="18"/>
              </w:rPr>
            </w:pPr>
          </w:p>
        </w:tc>
        <w:tc>
          <w:tcPr>
            <w:tcW w:w="759" w:type="pct"/>
            <w:vAlign w:val="center"/>
          </w:tcPr>
          <w:p w14:paraId="252173BC">
            <w:pPr>
              <w:spacing w:line="240" w:lineRule="auto"/>
              <w:jc w:val="center"/>
              <w:rPr>
                <w:rFonts w:hint="default" w:ascii="Times New Roman" w:hAnsi="Times New Roman" w:cs="Times New Roman"/>
                <w:sz w:val="18"/>
                <w:szCs w:val="18"/>
              </w:rPr>
            </w:pPr>
          </w:p>
        </w:tc>
      </w:tr>
      <w:tr w14:paraId="782EE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restart"/>
            <w:vAlign w:val="center"/>
          </w:tcPr>
          <w:p w14:paraId="4F626E56">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能源</w:t>
            </w:r>
          </w:p>
        </w:tc>
        <w:tc>
          <w:tcPr>
            <w:tcW w:w="720" w:type="pct"/>
            <w:vAlign w:val="center"/>
          </w:tcPr>
          <w:p w14:paraId="7933541E">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煤</w:t>
            </w:r>
          </w:p>
        </w:tc>
        <w:tc>
          <w:tcPr>
            <w:tcW w:w="764" w:type="pct"/>
            <w:vAlign w:val="center"/>
          </w:tcPr>
          <w:p w14:paraId="60B5F13D">
            <w:pPr>
              <w:spacing w:line="240" w:lineRule="auto"/>
              <w:jc w:val="center"/>
              <w:rPr>
                <w:rFonts w:hint="default" w:ascii="Times New Roman" w:hAnsi="Times New Roman" w:cs="Times New Roman"/>
                <w:sz w:val="18"/>
                <w:szCs w:val="18"/>
              </w:rPr>
            </w:pPr>
          </w:p>
        </w:tc>
        <w:tc>
          <w:tcPr>
            <w:tcW w:w="764" w:type="pct"/>
            <w:vAlign w:val="center"/>
          </w:tcPr>
          <w:p w14:paraId="205D9919">
            <w:pPr>
              <w:spacing w:line="240" w:lineRule="auto"/>
              <w:jc w:val="center"/>
              <w:rPr>
                <w:rFonts w:hint="default" w:ascii="Times New Roman" w:hAnsi="Times New Roman" w:cs="Times New Roman"/>
                <w:sz w:val="18"/>
                <w:szCs w:val="18"/>
              </w:rPr>
            </w:pPr>
          </w:p>
        </w:tc>
        <w:tc>
          <w:tcPr>
            <w:tcW w:w="764" w:type="pct"/>
            <w:vAlign w:val="center"/>
          </w:tcPr>
          <w:p w14:paraId="195E7CE0">
            <w:pPr>
              <w:spacing w:line="240" w:lineRule="auto"/>
              <w:jc w:val="center"/>
              <w:rPr>
                <w:rFonts w:hint="default" w:ascii="Times New Roman" w:hAnsi="Times New Roman" w:cs="Times New Roman"/>
                <w:sz w:val="18"/>
                <w:szCs w:val="18"/>
              </w:rPr>
            </w:pPr>
          </w:p>
        </w:tc>
        <w:tc>
          <w:tcPr>
            <w:tcW w:w="764" w:type="pct"/>
            <w:vAlign w:val="center"/>
          </w:tcPr>
          <w:p w14:paraId="3F70C3F3">
            <w:pPr>
              <w:spacing w:line="240" w:lineRule="auto"/>
              <w:jc w:val="center"/>
              <w:rPr>
                <w:rFonts w:hint="default" w:ascii="Times New Roman" w:hAnsi="Times New Roman" w:cs="Times New Roman"/>
                <w:sz w:val="18"/>
                <w:szCs w:val="18"/>
              </w:rPr>
            </w:pPr>
          </w:p>
        </w:tc>
        <w:tc>
          <w:tcPr>
            <w:tcW w:w="759" w:type="pct"/>
            <w:vAlign w:val="center"/>
          </w:tcPr>
          <w:p w14:paraId="366E3E6D">
            <w:pPr>
              <w:spacing w:line="240" w:lineRule="auto"/>
              <w:jc w:val="center"/>
              <w:rPr>
                <w:rFonts w:hint="default" w:ascii="Times New Roman" w:hAnsi="Times New Roman" w:cs="Times New Roman"/>
                <w:sz w:val="18"/>
                <w:szCs w:val="18"/>
              </w:rPr>
            </w:pPr>
          </w:p>
        </w:tc>
      </w:tr>
      <w:tr w14:paraId="3785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01617251">
            <w:pPr>
              <w:spacing w:line="240" w:lineRule="auto"/>
              <w:jc w:val="center"/>
              <w:rPr>
                <w:rFonts w:hint="default" w:ascii="Times New Roman" w:hAnsi="Times New Roman" w:cs="Times New Roman"/>
                <w:sz w:val="18"/>
                <w:szCs w:val="18"/>
              </w:rPr>
            </w:pPr>
          </w:p>
        </w:tc>
        <w:tc>
          <w:tcPr>
            <w:tcW w:w="720" w:type="pct"/>
            <w:vAlign w:val="center"/>
          </w:tcPr>
          <w:p w14:paraId="5A9A6FBC">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煤矸石</w:t>
            </w:r>
          </w:p>
        </w:tc>
        <w:tc>
          <w:tcPr>
            <w:tcW w:w="764" w:type="pct"/>
            <w:vAlign w:val="center"/>
          </w:tcPr>
          <w:p w14:paraId="5B422052">
            <w:pPr>
              <w:spacing w:line="240" w:lineRule="auto"/>
              <w:jc w:val="center"/>
              <w:rPr>
                <w:rFonts w:hint="default" w:ascii="Times New Roman" w:hAnsi="Times New Roman" w:cs="Times New Roman"/>
                <w:sz w:val="18"/>
                <w:szCs w:val="18"/>
              </w:rPr>
            </w:pPr>
          </w:p>
        </w:tc>
        <w:tc>
          <w:tcPr>
            <w:tcW w:w="764" w:type="pct"/>
            <w:vAlign w:val="center"/>
          </w:tcPr>
          <w:p w14:paraId="4BFFF560">
            <w:pPr>
              <w:spacing w:line="240" w:lineRule="auto"/>
              <w:jc w:val="center"/>
              <w:rPr>
                <w:rFonts w:hint="default" w:ascii="Times New Roman" w:hAnsi="Times New Roman" w:cs="Times New Roman"/>
                <w:sz w:val="18"/>
                <w:szCs w:val="18"/>
              </w:rPr>
            </w:pPr>
          </w:p>
        </w:tc>
        <w:tc>
          <w:tcPr>
            <w:tcW w:w="764" w:type="pct"/>
            <w:vAlign w:val="center"/>
          </w:tcPr>
          <w:p w14:paraId="195E033F">
            <w:pPr>
              <w:spacing w:line="240" w:lineRule="auto"/>
              <w:jc w:val="center"/>
              <w:rPr>
                <w:rFonts w:hint="default" w:ascii="Times New Roman" w:hAnsi="Times New Roman" w:cs="Times New Roman"/>
                <w:sz w:val="18"/>
                <w:szCs w:val="18"/>
              </w:rPr>
            </w:pPr>
          </w:p>
        </w:tc>
        <w:tc>
          <w:tcPr>
            <w:tcW w:w="764" w:type="pct"/>
            <w:vAlign w:val="center"/>
          </w:tcPr>
          <w:p w14:paraId="7DA90804">
            <w:pPr>
              <w:spacing w:line="240" w:lineRule="auto"/>
              <w:jc w:val="center"/>
              <w:rPr>
                <w:rFonts w:hint="default" w:ascii="Times New Roman" w:hAnsi="Times New Roman" w:cs="Times New Roman"/>
                <w:sz w:val="18"/>
                <w:szCs w:val="18"/>
              </w:rPr>
            </w:pPr>
          </w:p>
        </w:tc>
        <w:tc>
          <w:tcPr>
            <w:tcW w:w="759" w:type="pct"/>
            <w:vAlign w:val="center"/>
          </w:tcPr>
          <w:p w14:paraId="646BF91D">
            <w:pPr>
              <w:spacing w:line="240" w:lineRule="auto"/>
              <w:jc w:val="center"/>
              <w:rPr>
                <w:rFonts w:hint="default" w:ascii="Times New Roman" w:hAnsi="Times New Roman" w:cs="Times New Roman"/>
                <w:sz w:val="18"/>
                <w:szCs w:val="18"/>
              </w:rPr>
            </w:pPr>
          </w:p>
        </w:tc>
      </w:tr>
      <w:tr w14:paraId="234D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6D10980A">
            <w:pPr>
              <w:spacing w:line="240" w:lineRule="auto"/>
              <w:jc w:val="center"/>
              <w:rPr>
                <w:rFonts w:hint="default" w:ascii="Times New Roman" w:hAnsi="Times New Roman" w:cs="Times New Roman"/>
                <w:sz w:val="18"/>
                <w:szCs w:val="18"/>
              </w:rPr>
            </w:pPr>
          </w:p>
        </w:tc>
        <w:tc>
          <w:tcPr>
            <w:tcW w:w="720" w:type="pct"/>
            <w:vAlign w:val="center"/>
          </w:tcPr>
          <w:p w14:paraId="6DB5F462">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汽油</w:t>
            </w:r>
          </w:p>
        </w:tc>
        <w:tc>
          <w:tcPr>
            <w:tcW w:w="764" w:type="pct"/>
            <w:vAlign w:val="center"/>
          </w:tcPr>
          <w:p w14:paraId="6F0D0095">
            <w:pPr>
              <w:spacing w:line="240" w:lineRule="auto"/>
              <w:jc w:val="center"/>
              <w:rPr>
                <w:rFonts w:hint="default" w:ascii="Times New Roman" w:hAnsi="Times New Roman" w:cs="Times New Roman"/>
                <w:sz w:val="18"/>
                <w:szCs w:val="18"/>
              </w:rPr>
            </w:pPr>
          </w:p>
        </w:tc>
        <w:tc>
          <w:tcPr>
            <w:tcW w:w="764" w:type="pct"/>
            <w:vAlign w:val="center"/>
          </w:tcPr>
          <w:p w14:paraId="090B9962">
            <w:pPr>
              <w:spacing w:line="240" w:lineRule="auto"/>
              <w:jc w:val="center"/>
              <w:rPr>
                <w:rFonts w:hint="default" w:ascii="Times New Roman" w:hAnsi="Times New Roman" w:cs="Times New Roman"/>
                <w:sz w:val="18"/>
                <w:szCs w:val="18"/>
              </w:rPr>
            </w:pPr>
          </w:p>
        </w:tc>
        <w:tc>
          <w:tcPr>
            <w:tcW w:w="764" w:type="pct"/>
            <w:vAlign w:val="center"/>
          </w:tcPr>
          <w:p w14:paraId="5ED6581B">
            <w:pPr>
              <w:spacing w:line="240" w:lineRule="auto"/>
              <w:jc w:val="center"/>
              <w:rPr>
                <w:rFonts w:hint="default" w:ascii="Times New Roman" w:hAnsi="Times New Roman" w:cs="Times New Roman"/>
                <w:sz w:val="18"/>
                <w:szCs w:val="18"/>
              </w:rPr>
            </w:pPr>
          </w:p>
        </w:tc>
        <w:tc>
          <w:tcPr>
            <w:tcW w:w="764" w:type="pct"/>
            <w:vAlign w:val="center"/>
          </w:tcPr>
          <w:p w14:paraId="74C91F7F">
            <w:pPr>
              <w:spacing w:line="240" w:lineRule="auto"/>
              <w:jc w:val="center"/>
              <w:rPr>
                <w:rFonts w:hint="default" w:ascii="Times New Roman" w:hAnsi="Times New Roman" w:cs="Times New Roman"/>
                <w:sz w:val="18"/>
                <w:szCs w:val="18"/>
              </w:rPr>
            </w:pPr>
          </w:p>
        </w:tc>
        <w:tc>
          <w:tcPr>
            <w:tcW w:w="759" w:type="pct"/>
            <w:vAlign w:val="center"/>
          </w:tcPr>
          <w:p w14:paraId="067A5A7B">
            <w:pPr>
              <w:spacing w:line="240" w:lineRule="auto"/>
              <w:jc w:val="center"/>
              <w:rPr>
                <w:rFonts w:hint="default" w:ascii="Times New Roman" w:hAnsi="Times New Roman" w:cs="Times New Roman"/>
                <w:sz w:val="18"/>
                <w:szCs w:val="18"/>
              </w:rPr>
            </w:pPr>
          </w:p>
        </w:tc>
      </w:tr>
      <w:tr w14:paraId="7437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6498FA67">
            <w:pPr>
              <w:spacing w:line="240" w:lineRule="auto"/>
              <w:jc w:val="center"/>
              <w:rPr>
                <w:rFonts w:hint="default" w:ascii="Times New Roman" w:hAnsi="Times New Roman" w:cs="Times New Roman"/>
                <w:sz w:val="18"/>
                <w:szCs w:val="18"/>
              </w:rPr>
            </w:pPr>
          </w:p>
        </w:tc>
        <w:tc>
          <w:tcPr>
            <w:tcW w:w="720" w:type="pct"/>
            <w:vAlign w:val="center"/>
          </w:tcPr>
          <w:p w14:paraId="43EA6849">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柴油</w:t>
            </w:r>
          </w:p>
        </w:tc>
        <w:tc>
          <w:tcPr>
            <w:tcW w:w="764" w:type="pct"/>
            <w:vAlign w:val="center"/>
          </w:tcPr>
          <w:p w14:paraId="64CA2DEB">
            <w:pPr>
              <w:spacing w:line="240" w:lineRule="auto"/>
              <w:jc w:val="center"/>
              <w:rPr>
                <w:rFonts w:hint="default" w:ascii="Times New Roman" w:hAnsi="Times New Roman" w:cs="Times New Roman"/>
                <w:sz w:val="18"/>
                <w:szCs w:val="18"/>
              </w:rPr>
            </w:pPr>
          </w:p>
        </w:tc>
        <w:tc>
          <w:tcPr>
            <w:tcW w:w="764" w:type="pct"/>
            <w:vAlign w:val="center"/>
          </w:tcPr>
          <w:p w14:paraId="7F69FA65">
            <w:pPr>
              <w:spacing w:line="240" w:lineRule="auto"/>
              <w:jc w:val="center"/>
              <w:rPr>
                <w:rFonts w:hint="default" w:ascii="Times New Roman" w:hAnsi="Times New Roman" w:cs="Times New Roman"/>
                <w:sz w:val="18"/>
                <w:szCs w:val="18"/>
              </w:rPr>
            </w:pPr>
          </w:p>
        </w:tc>
        <w:tc>
          <w:tcPr>
            <w:tcW w:w="764" w:type="pct"/>
            <w:vAlign w:val="center"/>
          </w:tcPr>
          <w:p w14:paraId="766FB728">
            <w:pPr>
              <w:spacing w:line="240" w:lineRule="auto"/>
              <w:jc w:val="center"/>
              <w:rPr>
                <w:rFonts w:hint="default" w:ascii="Times New Roman" w:hAnsi="Times New Roman" w:cs="Times New Roman"/>
                <w:sz w:val="18"/>
                <w:szCs w:val="18"/>
              </w:rPr>
            </w:pPr>
          </w:p>
        </w:tc>
        <w:tc>
          <w:tcPr>
            <w:tcW w:w="764" w:type="pct"/>
            <w:vAlign w:val="center"/>
          </w:tcPr>
          <w:p w14:paraId="6F548C8F">
            <w:pPr>
              <w:spacing w:line="240" w:lineRule="auto"/>
              <w:jc w:val="center"/>
              <w:rPr>
                <w:rFonts w:hint="default" w:ascii="Times New Roman" w:hAnsi="Times New Roman" w:cs="Times New Roman"/>
                <w:sz w:val="18"/>
                <w:szCs w:val="18"/>
              </w:rPr>
            </w:pPr>
          </w:p>
        </w:tc>
        <w:tc>
          <w:tcPr>
            <w:tcW w:w="759" w:type="pct"/>
            <w:vAlign w:val="center"/>
          </w:tcPr>
          <w:p w14:paraId="232A6938">
            <w:pPr>
              <w:spacing w:line="240" w:lineRule="auto"/>
              <w:jc w:val="center"/>
              <w:rPr>
                <w:rFonts w:hint="default" w:ascii="Times New Roman" w:hAnsi="Times New Roman" w:cs="Times New Roman"/>
                <w:sz w:val="18"/>
                <w:szCs w:val="18"/>
              </w:rPr>
            </w:pPr>
          </w:p>
        </w:tc>
      </w:tr>
      <w:tr w14:paraId="0783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721E8138">
            <w:pPr>
              <w:spacing w:line="240" w:lineRule="auto"/>
              <w:jc w:val="center"/>
              <w:rPr>
                <w:rFonts w:hint="default" w:ascii="Times New Roman" w:hAnsi="Times New Roman" w:cs="Times New Roman"/>
                <w:sz w:val="18"/>
                <w:szCs w:val="18"/>
              </w:rPr>
            </w:pPr>
          </w:p>
        </w:tc>
        <w:tc>
          <w:tcPr>
            <w:tcW w:w="720" w:type="pct"/>
            <w:vAlign w:val="center"/>
          </w:tcPr>
          <w:p w14:paraId="01E77D35">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电力</w:t>
            </w:r>
          </w:p>
        </w:tc>
        <w:tc>
          <w:tcPr>
            <w:tcW w:w="764" w:type="pct"/>
            <w:vAlign w:val="center"/>
          </w:tcPr>
          <w:p w14:paraId="73A42B51">
            <w:pPr>
              <w:spacing w:line="240" w:lineRule="auto"/>
              <w:jc w:val="center"/>
              <w:rPr>
                <w:rFonts w:hint="default" w:ascii="Times New Roman" w:hAnsi="Times New Roman" w:cs="Times New Roman"/>
                <w:sz w:val="18"/>
                <w:szCs w:val="18"/>
              </w:rPr>
            </w:pPr>
          </w:p>
        </w:tc>
        <w:tc>
          <w:tcPr>
            <w:tcW w:w="764" w:type="pct"/>
            <w:vAlign w:val="center"/>
          </w:tcPr>
          <w:p w14:paraId="10C127EB">
            <w:pPr>
              <w:spacing w:line="240" w:lineRule="auto"/>
              <w:jc w:val="center"/>
              <w:rPr>
                <w:rFonts w:hint="default" w:ascii="Times New Roman" w:hAnsi="Times New Roman" w:cs="Times New Roman"/>
                <w:sz w:val="18"/>
                <w:szCs w:val="18"/>
              </w:rPr>
            </w:pPr>
          </w:p>
        </w:tc>
        <w:tc>
          <w:tcPr>
            <w:tcW w:w="764" w:type="pct"/>
            <w:vAlign w:val="center"/>
          </w:tcPr>
          <w:p w14:paraId="46DB3C09">
            <w:pPr>
              <w:spacing w:line="240" w:lineRule="auto"/>
              <w:jc w:val="center"/>
              <w:rPr>
                <w:rFonts w:hint="default" w:ascii="Times New Roman" w:hAnsi="Times New Roman" w:cs="Times New Roman"/>
                <w:sz w:val="18"/>
                <w:szCs w:val="18"/>
              </w:rPr>
            </w:pPr>
          </w:p>
        </w:tc>
        <w:tc>
          <w:tcPr>
            <w:tcW w:w="764" w:type="pct"/>
            <w:vAlign w:val="center"/>
          </w:tcPr>
          <w:p w14:paraId="73B3E83B">
            <w:pPr>
              <w:spacing w:line="240" w:lineRule="auto"/>
              <w:jc w:val="center"/>
              <w:rPr>
                <w:rFonts w:hint="default" w:ascii="Times New Roman" w:hAnsi="Times New Roman" w:cs="Times New Roman"/>
                <w:sz w:val="18"/>
                <w:szCs w:val="18"/>
              </w:rPr>
            </w:pPr>
          </w:p>
        </w:tc>
        <w:tc>
          <w:tcPr>
            <w:tcW w:w="759" w:type="pct"/>
            <w:vAlign w:val="center"/>
          </w:tcPr>
          <w:p w14:paraId="7D298D20">
            <w:pPr>
              <w:spacing w:line="240" w:lineRule="auto"/>
              <w:jc w:val="center"/>
              <w:rPr>
                <w:rFonts w:hint="default" w:ascii="Times New Roman" w:hAnsi="Times New Roman" w:cs="Times New Roman"/>
                <w:sz w:val="18"/>
                <w:szCs w:val="18"/>
              </w:rPr>
            </w:pPr>
          </w:p>
        </w:tc>
      </w:tr>
      <w:tr w14:paraId="63AC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restart"/>
            <w:vAlign w:val="center"/>
          </w:tcPr>
          <w:p w14:paraId="2EC340AC">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运输</w:t>
            </w:r>
          </w:p>
        </w:tc>
        <w:tc>
          <w:tcPr>
            <w:tcW w:w="720" w:type="pct"/>
            <w:vAlign w:val="center"/>
          </w:tcPr>
          <w:p w14:paraId="18BE955E">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公路运输</w:t>
            </w:r>
          </w:p>
        </w:tc>
        <w:tc>
          <w:tcPr>
            <w:tcW w:w="764" w:type="pct"/>
            <w:vAlign w:val="center"/>
          </w:tcPr>
          <w:p w14:paraId="7F7DB706">
            <w:pPr>
              <w:spacing w:line="240" w:lineRule="auto"/>
              <w:jc w:val="center"/>
              <w:rPr>
                <w:rFonts w:hint="default" w:ascii="Times New Roman" w:hAnsi="Times New Roman" w:cs="Times New Roman"/>
                <w:sz w:val="18"/>
                <w:szCs w:val="18"/>
              </w:rPr>
            </w:pPr>
          </w:p>
        </w:tc>
        <w:tc>
          <w:tcPr>
            <w:tcW w:w="764" w:type="pct"/>
            <w:vAlign w:val="center"/>
          </w:tcPr>
          <w:p w14:paraId="3B98F489">
            <w:pPr>
              <w:spacing w:line="240" w:lineRule="auto"/>
              <w:jc w:val="center"/>
              <w:rPr>
                <w:rFonts w:hint="default" w:ascii="Times New Roman" w:hAnsi="Times New Roman" w:cs="Times New Roman"/>
                <w:sz w:val="18"/>
                <w:szCs w:val="18"/>
              </w:rPr>
            </w:pPr>
          </w:p>
        </w:tc>
        <w:tc>
          <w:tcPr>
            <w:tcW w:w="764" w:type="pct"/>
            <w:vAlign w:val="center"/>
          </w:tcPr>
          <w:p w14:paraId="134A0D36">
            <w:pPr>
              <w:spacing w:line="240" w:lineRule="auto"/>
              <w:jc w:val="center"/>
              <w:rPr>
                <w:rFonts w:hint="default" w:ascii="Times New Roman" w:hAnsi="Times New Roman" w:cs="Times New Roman"/>
                <w:sz w:val="18"/>
                <w:szCs w:val="18"/>
              </w:rPr>
            </w:pPr>
          </w:p>
        </w:tc>
        <w:tc>
          <w:tcPr>
            <w:tcW w:w="764" w:type="pct"/>
            <w:vAlign w:val="center"/>
          </w:tcPr>
          <w:p w14:paraId="3B7C9087">
            <w:pPr>
              <w:spacing w:line="240" w:lineRule="auto"/>
              <w:jc w:val="center"/>
              <w:rPr>
                <w:rFonts w:hint="default" w:ascii="Times New Roman" w:hAnsi="Times New Roman" w:cs="Times New Roman"/>
                <w:sz w:val="18"/>
                <w:szCs w:val="18"/>
              </w:rPr>
            </w:pPr>
          </w:p>
        </w:tc>
        <w:tc>
          <w:tcPr>
            <w:tcW w:w="759" w:type="pct"/>
            <w:vAlign w:val="center"/>
          </w:tcPr>
          <w:p w14:paraId="4B9E6A86">
            <w:pPr>
              <w:spacing w:line="240" w:lineRule="auto"/>
              <w:jc w:val="center"/>
              <w:rPr>
                <w:rFonts w:hint="default" w:ascii="Times New Roman" w:hAnsi="Times New Roman" w:cs="Times New Roman"/>
                <w:sz w:val="18"/>
                <w:szCs w:val="18"/>
              </w:rPr>
            </w:pPr>
          </w:p>
        </w:tc>
      </w:tr>
      <w:tr w14:paraId="2093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4" w:type="pct"/>
            <w:vMerge w:val="continue"/>
            <w:vAlign w:val="center"/>
          </w:tcPr>
          <w:p w14:paraId="09833AA4">
            <w:pPr>
              <w:spacing w:line="240" w:lineRule="auto"/>
              <w:jc w:val="center"/>
              <w:rPr>
                <w:rFonts w:hint="default" w:ascii="Times New Roman" w:hAnsi="Times New Roman" w:cs="Times New Roman"/>
                <w:sz w:val="18"/>
                <w:szCs w:val="18"/>
              </w:rPr>
            </w:pPr>
          </w:p>
        </w:tc>
        <w:tc>
          <w:tcPr>
            <w:tcW w:w="720" w:type="pct"/>
            <w:vAlign w:val="center"/>
          </w:tcPr>
          <w:p w14:paraId="4F9CCD2C">
            <w:pPr>
              <w:spacing w:line="240" w:lineRule="auto"/>
              <w:jc w:val="center"/>
              <w:rPr>
                <w:rFonts w:hint="default" w:ascii="Times New Roman" w:hAnsi="Times New Roman" w:cs="Times New Roman"/>
                <w:sz w:val="18"/>
                <w:szCs w:val="18"/>
              </w:rPr>
            </w:pPr>
            <w:r>
              <w:rPr>
                <w:rFonts w:hint="default" w:ascii="Times New Roman" w:hAnsi="Times New Roman" w:cs="Times New Roman"/>
                <w:sz w:val="18"/>
                <w:szCs w:val="18"/>
              </w:rPr>
              <w:t>铁路运输</w:t>
            </w:r>
          </w:p>
        </w:tc>
        <w:tc>
          <w:tcPr>
            <w:tcW w:w="764" w:type="pct"/>
            <w:vAlign w:val="center"/>
          </w:tcPr>
          <w:p w14:paraId="62924246">
            <w:pPr>
              <w:spacing w:line="240" w:lineRule="auto"/>
              <w:jc w:val="center"/>
              <w:rPr>
                <w:rFonts w:hint="default" w:ascii="Times New Roman" w:hAnsi="Times New Roman" w:cs="Times New Roman"/>
                <w:sz w:val="18"/>
                <w:szCs w:val="18"/>
              </w:rPr>
            </w:pPr>
          </w:p>
        </w:tc>
        <w:tc>
          <w:tcPr>
            <w:tcW w:w="764" w:type="pct"/>
            <w:vAlign w:val="center"/>
          </w:tcPr>
          <w:p w14:paraId="0C4AB951">
            <w:pPr>
              <w:spacing w:line="240" w:lineRule="auto"/>
              <w:jc w:val="center"/>
              <w:rPr>
                <w:rFonts w:hint="default" w:ascii="Times New Roman" w:hAnsi="Times New Roman" w:cs="Times New Roman"/>
                <w:sz w:val="18"/>
                <w:szCs w:val="18"/>
              </w:rPr>
            </w:pPr>
          </w:p>
        </w:tc>
        <w:tc>
          <w:tcPr>
            <w:tcW w:w="764" w:type="pct"/>
            <w:vAlign w:val="center"/>
          </w:tcPr>
          <w:p w14:paraId="03EE2E28">
            <w:pPr>
              <w:spacing w:line="240" w:lineRule="auto"/>
              <w:jc w:val="center"/>
              <w:rPr>
                <w:rFonts w:hint="default" w:ascii="Times New Roman" w:hAnsi="Times New Roman" w:cs="Times New Roman"/>
                <w:sz w:val="18"/>
                <w:szCs w:val="18"/>
              </w:rPr>
            </w:pPr>
          </w:p>
        </w:tc>
        <w:tc>
          <w:tcPr>
            <w:tcW w:w="764" w:type="pct"/>
            <w:vAlign w:val="center"/>
          </w:tcPr>
          <w:p w14:paraId="2833542C">
            <w:pPr>
              <w:spacing w:line="240" w:lineRule="auto"/>
              <w:jc w:val="center"/>
              <w:rPr>
                <w:rFonts w:hint="default" w:ascii="Times New Roman" w:hAnsi="Times New Roman" w:cs="Times New Roman"/>
                <w:sz w:val="18"/>
                <w:szCs w:val="18"/>
              </w:rPr>
            </w:pPr>
          </w:p>
        </w:tc>
        <w:tc>
          <w:tcPr>
            <w:tcW w:w="759" w:type="pct"/>
            <w:vAlign w:val="center"/>
          </w:tcPr>
          <w:p w14:paraId="590615CB">
            <w:pPr>
              <w:spacing w:line="240" w:lineRule="auto"/>
              <w:jc w:val="center"/>
              <w:rPr>
                <w:rFonts w:hint="default" w:ascii="Times New Roman" w:hAnsi="Times New Roman" w:cs="Times New Roman"/>
                <w:sz w:val="18"/>
                <w:szCs w:val="18"/>
              </w:rPr>
            </w:pPr>
          </w:p>
        </w:tc>
      </w:tr>
    </w:tbl>
    <w:p w14:paraId="3573E397">
      <w:pPr>
        <w:pStyle w:val="26"/>
      </w:pPr>
    </w:p>
    <w:p w14:paraId="268B373C">
      <w:pPr>
        <w:spacing w:line="276" w:lineRule="auto"/>
        <w:rPr>
          <w:szCs w:val="21"/>
        </w:rPr>
      </w:pPr>
      <w:r>
        <w:rPr>
          <w:szCs w:val="21"/>
        </w:rPr>
        <w:t xml:space="preserve">C.2 </w:t>
      </w:r>
      <w:r>
        <w:t>数据质量评价体系表见表C.2。评价体系包括数据来源、数据获取方式、时间相关性、地理相关性与技术相关性5项评价指标，并在每项指标中用5分制来评价数据质量。通过计算每个数据的5项指标总分来表征输入输出数据的质量（最高25分），每个数据的数据质量</w:t>
      </w:r>
      <w:r>
        <w:rPr>
          <w:rFonts w:hint="eastAsia"/>
        </w:rPr>
        <w:t>宜</w:t>
      </w:r>
      <w:r>
        <w:t>大于15分。</w:t>
      </w:r>
    </w:p>
    <w:p w14:paraId="32A07EF1">
      <w:pPr>
        <w:pStyle w:val="135"/>
        <w:spacing w:beforeLines="0" w:afterLines="0" w:line="276" w:lineRule="auto"/>
        <w:rPr>
          <w:rFonts w:ascii="Times New Roman"/>
        </w:rPr>
      </w:pPr>
      <w:r>
        <w:rPr>
          <w:rFonts w:ascii="Times New Roman" w:eastAsia="宋体"/>
          <w:kern w:val="2"/>
          <w:szCs w:val="21"/>
        </w:rPr>
        <w:t>表C.2  数据质量评价体系表</w:t>
      </w:r>
    </w:p>
    <w:tbl>
      <w:tblPr>
        <w:tblStyle w:val="3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59"/>
        <w:gridCol w:w="1661"/>
        <w:gridCol w:w="1661"/>
        <w:gridCol w:w="1800"/>
        <w:gridCol w:w="1521"/>
        <w:gridCol w:w="1665"/>
      </w:tblGrid>
      <w:tr w14:paraId="14335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jc w:val="center"/>
        </w:trPr>
        <w:tc>
          <w:tcPr>
            <w:tcW w:w="832" w:type="pct"/>
            <w:vMerge w:val="restart"/>
            <w:vAlign w:val="center"/>
          </w:tcPr>
          <w:p w14:paraId="71C12F85">
            <w:pPr>
              <w:spacing w:line="276" w:lineRule="auto"/>
              <w:jc w:val="center"/>
              <w:rPr>
                <w:rFonts w:ascii="宋体" w:eastAsiaTheme="minorEastAsia"/>
                <w:kern w:val="0"/>
                <w:szCs w:val="21"/>
              </w:rPr>
            </w:pPr>
            <w:r>
              <w:rPr>
                <w:rFonts w:ascii="宋体" w:eastAsiaTheme="minorEastAsia"/>
                <w:kern w:val="0"/>
                <w:szCs w:val="21"/>
              </w:rPr>
              <w:t>数据质量评价项</w:t>
            </w:r>
          </w:p>
        </w:tc>
        <w:tc>
          <w:tcPr>
            <w:tcW w:w="4167" w:type="pct"/>
            <w:gridSpan w:val="5"/>
            <w:vAlign w:val="center"/>
          </w:tcPr>
          <w:p w14:paraId="1A22A350">
            <w:pPr>
              <w:spacing w:line="276" w:lineRule="auto"/>
              <w:jc w:val="center"/>
              <w:rPr>
                <w:rFonts w:ascii="宋体" w:eastAsiaTheme="minorEastAsia"/>
                <w:kern w:val="0"/>
                <w:szCs w:val="21"/>
              </w:rPr>
            </w:pPr>
            <w:r>
              <w:rPr>
                <w:rFonts w:ascii="宋体" w:eastAsiaTheme="minorEastAsia"/>
                <w:kern w:val="0"/>
                <w:szCs w:val="21"/>
              </w:rPr>
              <w:t>项目分值</w:t>
            </w:r>
          </w:p>
        </w:tc>
      </w:tr>
      <w:tr w14:paraId="48995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832" w:type="pct"/>
            <w:vMerge w:val="continue"/>
            <w:vAlign w:val="center"/>
          </w:tcPr>
          <w:p w14:paraId="01CCF383">
            <w:pPr>
              <w:spacing w:line="276" w:lineRule="auto"/>
              <w:jc w:val="center"/>
              <w:rPr>
                <w:rFonts w:ascii="宋体" w:eastAsiaTheme="minorEastAsia"/>
                <w:kern w:val="0"/>
                <w:szCs w:val="21"/>
              </w:rPr>
            </w:pPr>
          </w:p>
        </w:tc>
        <w:tc>
          <w:tcPr>
            <w:tcW w:w="833" w:type="pct"/>
            <w:vAlign w:val="center"/>
          </w:tcPr>
          <w:p w14:paraId="1286E116">
            <w:pPr>
              <w:spacing w:line="276" w:lineRule="auto"/>
              <w:jc w:val="center"/>
              <w:rPr>
                <w:rFonts w:ascii="宋体" w:eastAsiaTheme="minorEastAsia"/>
                <w:kern w:val="0"/>
                <w:szCs w:val="21"/>
              </w:rPr>
            </w:pPr>
            <w:r>
              <w:rPr>
                <w:rFonts w:ascii="宋体" w:eastAsiaTheme="minorEastAsia"/>
                <w:kern w:val="0"/>
                <w:szCs w:val="21"/>
              </w:rPr>
              <w:t>5</w:t>
            </w:r>
          </w:p>
        </w:tc>
        <w:tc>
          <w:tcPr>
            <w:tcW w:w="833" w:type="pct"/>
            <w:vAlign w:val="center"/>
          </w:tcPr>
          <w:p w14:paraId="39DDABCF">
            <w:pPr>
              <w:spacing w:line="276" w:lineRule="auto"/>
              <w:jc w:val="center"/>
              <w:rPr>
                <w:rFonts w:ascii="宋体" w:eastAsiaTheme="minorEastAsia"/>
                <w:kern w:val="0"/>
                <w:szCs w:val="21"/>
              </w:rPr>
            </w:pPr>
            <w:r>
              <w:rPr>
                <w:rFonts w:ascii="宋体" w:eastAsiaTheme="minorEastAsia"/>
                <w:kern w:val="0"/>
                <w:szCs w:val="21"/>
              </w:rPr>
              <w:t>4</w:t>
            </w:r>
          </w:p>
        </w:tc>
        <w:tc>
          <w:tcPr>
            <w:tcW w:w="903" w:type="pct"/>
            <w:vAlign w:val="center"/>
          </w:tcPr>
          <w:p w14:paraId="59674726">
            <w:pPr>
              <w:spacing w:line="276" w:lineRule="auto"/>
              <w:jc w:val="center"/>
              <w:rPr>
                <w:rFonts w:ascii="宋体" w:eastAsiaTheme="minorEastAsia"/>
                <w:kern w:val="0"/>
                <w:szCs w:val="21"/>
              </w:rPr>
            </w:pPr>
            <w:r>
              <w:rPr>
                <w:rFonts w:ascii="宋体" w:eastAsiaTheme="minorEastAsia"/>
                <w:kern w:val="0"/>
                <w:szCs w:val="21"/>
              </w:rPr>
              <w:t>3</w:t>
            </w:r>
          </w:p>
        </w:tc>
        <w:tc>
          <w:tcPr>
            <w:tcW w:w="763" w:type="pct"/>
            <w:vAlign w:val="center"/>
          </w:tcPr>
          <w:p w14:paraId="4177626D">
            <w:pPr>
              <w:spacing w:line="276" w:lineRule="auto"/>
              <w:jc w:val="center"/>
              <w:rPr>
                <w:rFonts w:ascii="宋体" w:eastAsiaTheme="minorEastAsia"/>
                <w:kern w:val="0"/>
                <w:szCs w:val="21"/>
              </w:rPr>
            </w:pPr>
            <w:r>
              <w:rPr>
                <w:rFonts w:ascii="宋体" w:eastAsiaTheme="minorEastAsia"/>
                <w:kern w:val="0"/>
                <w:szCs w:val="21"/>
              </w:rPr>
              <w:t>2</w:t>
            </w:r>
          </w:p>
        </w:tc>
        <w:tc>
          <w:tcPr>
            <w:tcW w:w="833" w:type="pct"/>
            <w:vAlign w:val="center"/>
          </w:tcPr>
          <w:p w14:paraId="2F07DF86">
            <w:pPr>
              <w:spacing w:line="276" w:lineRule="auto"/>
              <w:jc w:val="center"/>
              <w:rPr>
                <w:rFonts w:ascii="宋体" w:eastAsiaTheme="minorEastAsia"/>
                <w:kern w:val="0"/>
                <w:szCs w:val="21"/>
              </w:rPr>
            </w:pPr>
            <w:r>
              <w:rPr>
                <w:rFonts w:ascii="宋体" w:eastAsiaTheme="minorEastAsia"/>
                <w:kern w:val="0"/>
                <w:szCs w:val="21"/>
              </w:rPr>
              <w:t>1</w:t>
            </w:r>
          </w:p>
        </w:tc>
      </w:tr>
      <w:tr w14:paraId="6E2E6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 w:type="pct"/>
            <w:vAlign w:val="center"/>
          </w:tcPr>
          <w:p w14:paraId="7D58ED41">
            <w:pPr>
              <w:spacing w:line="276" w:lineRule="auto"/>
              <w:jc w:val="center"/>
              <w:rPr>
                <w:rFonts w:ascii="宋体" w:eastAsiaTheme="minorEastAsia"/>
                <w:kern w:val="0"/>
                <w:szCs w:val="21"/>
              </w:rPr>
            </w:pPr>
            <w:r>
              <w:rPr>
                <w:rFonts w:ascii="宋体" w:eastAsiaTheme="minorEastAsia"/>
                <w:kern w:val="0"/>
                <w:szCs w:val="21"/>
              </w:rPr>
              <w:t>数据来源</w:t>
            </w:r>
          </w:p>
        </w:tc>
        <w:tc>
          <w:tcPr>
            <w:tcW w:w="833" w:type="pct"/>
            <w:vAlign w:val="center"/>
          </w:tcPr>
          <w:p w14:paraId="08B701C0">
            <w:pPr>
              <w:spacing w:line="276" w:lineRule="auto"/>
              <w:jc w:val="center"/>
              <w:rPr>
                <w:rFonts w:ascii="宋体" w:eastAsiaTheme="minorEastAsia"/>
                <w:kern w:val="0"/>
                <w:szCs w:val="21"/>
              </w:rPr>
            </w:pPr>
            <w:r>
              <w:rPr>
                <w:rFonts w:ascii="宋体" w:eastAsiaTheme="minorEastAsia"/>
                <w:kern w:val="0"/>
                <w:szCs w:val="21"/>
              </w:rPr>
              <w:t>生产现场</w:t>
            </w:r>
          </w:p>
        </w:tc>
        <w:tc>
          <w:tcPr>
            <w:tcW w:w="833" w:type="pct"/>
            <w:vAlign w:val="center"/>
          </w:tcPr>
          <w:p w14:paraId="123FA79C">
            <w:pPr>
              <w:spacing w:line="276" w:lineRule="auto"/>
              <w:jc w:val="center"/>
              <w:rPr>
                <w:rFonts w:ascii="宋体" w:eastAsiaTheme="minorEastAsia"/>
                <w:kern w:val="0"/>
                <w:szCs w:val="21"/>
              </w:rPr>
            </w:pPr>
            <w:r>
              <w:rPr>
                <w:rFonts w:ascii="宋体" w:eastAsiaTheme="minorEastAsia"/>
                <w:kern w:val="0"/>
                <w:szCs w:val="21"/>
              </w:rPr>
              <w:t>行业统计数据</w:t>
            </w:r>
          </w:p>
        </w:tc>
        <w:tc>
          <w:tcPr>
            <w:tcW w:w="903" w:type="pct"/>
            <w:vAlign w:val="center"/>
          </w:tcPr>
          <w:p w14:paraId="5B70F079">
            <w:pPr>
              <w:spacing w:line="276" w:lineRule="auto"/>
              <w:jc w:val="center"/>
              <w:rPr>
                <w:rFonts w:ascii="宋体" w:eastAsiaTheme="minorEastAsia"/>
                <w:kern w:val="0"/>
                <w:szCs w:val="21"/>
              </w:rPr>
            </w:pPr>
            <w:r>
              <w:rPr>
                <w:rFonts w:ascii="宋体" w:eastAsiaTheme="minorEastAsia"/>
                <w:kern w:val="0"/>
                <w:szCs w:val="21"/>
              </w:rPr>
              <w:t>权威机构调研报告</w:t>
            </w:r>
          </w:p>
        </w:tc>
        <w:tc>
          <w:tcPr>
            <w:tcW w:w="763" w:type="pct"/>
            <w:vAlign w:val="center"/>
          </w:tcPr>
          <w:p w14:paraId="18146E6A">
            <w:pPr>
              <w:spacing w:line="276" w:lineRule="auto"/>
              <w:jc w:val="center"/>
              <w:rPr>
                <w:rFonts w:ascii="宋体" w:eastAsiaTheme="minorEastAsia"/>
                <w:kern w:val="0"/>
                <w:szCs w:val="21"/>
              </w:rPr>
            </w:pPr>
            <w:r>
              <w:rPr>
                <w:rFonts w:ascii="宋体" w:eastAsiaTheme="minorEastAsia"/>
                <w:kern w:val="0"/>
                <w:szCs w:val="21"/>
              </w:rPr>
              <w:t>文献</w:t>
            </w:r>
          </w:p>
        </w:tc>
        <w:tc>
          <w:tcPr>
            <w:tcW w:w="833" w:type="pct"/>
            <w:vAlign w:val="center"/>
          </w:tcPr>
          <w:p w14:paraId="0084E47F">
            <w:pPr>
              <w:spacing w:line="276" w:lineRule="auto"/>
              <w:jc w:val="center"/>
              <w:rPr>
                <w:rFonts w:ascii="宋体" w:eastAsiaTheme="minorEastAsia"/>
                <w:kern w:val="0"/>
                <w:szCs w:val="21"/>
              </w:rPr>
            </w:pPr>
            <w:r>
              <w:rPr>
                <w:rFonts w:ascii="宋体" w:eastAsiaTheme="minorEastAsia"/>
                <w:kern w:val="0"/>
                <w:szCs w:val="21"/>
              </w:rPr>
              <w:t>其他</w:t>
            </w:r>
          </w:p>
        </w:tc>
      </w:tr>
      <w:tr w14:paraId="31745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 w:type="pct"/>
            <w:vAlign w:val="center"/>
          </w:tcPr>
          <w:p w14:paraId="57348DDD">
            <w:pPr>
              <w:spacing w:line="276" w:lineRule="auto"/>
              <w:jc w:val="center"/>
              <w:rPr>
                <w:rFonts w:ascii="宋体" w:eastAsiaTheme="minorEastAsia"/>
                <w:kern w:val="0"/>
                <w:szCs w:val="21"/>
              </w:rPr>
            </w:pPr>
            <w:r>
              <w:rPr>
                <w:rFonts w:ascii="宋体" w:eastAsiaTheme="minorEastAsia"/>
                <w:kern w:val="0"/>
                <w:szCs w:val="21"/>
              </w:rPr>
              <w:t>数据获取方式</w:t>
            </w:r>
          </w:p>
        </w:tc>
        <w:tc>
          <w:tcPr>
            <w:tcW w:w="833" w:type="pct"/>
            <w:vAlign w:val="center"/>
          </w:tcPr>
          <w:p w14:paraId="7DBC8AAD">
            <w:pPr>
              <w:spacing w:line="276" w:lineRule="auto"/>
              <w:jc w:val="center"/>
              <w:rPr>
                <w:rFonts w:ascii="宋体" w:eastAsiaTheme="minorEastAsia"/>
                <w:kern w:val="0"/>
                <w:szCs w:val="21"/>
              </w:rPr>
            </w:pPr>
            <w:r>
              <w:rPr>
                <w:rFonts w:ascii="宋体" w:eastAsiaTheme="minorEastAsia"/>
                <w:kern w:val="0"/>
                <w:szCs w:val="21"/>
              </w:rPr>
              <w:t>测量</w:t>
            </w:r>
          </w:p>
        </w:tc>
        <w:tc>
          <w:tcPr>
            <w:tcW w:w="833" w:type="pct"/>
            <w:vAlign w:val="center"/>
          </w:tcPr>
          <w:p w14:paraId="6DB3864F">
            <w:pPr>
              <w:spacing w:line="276" w:lineRule="auto"/>
              <w:jc w:val="center"/>
              <w:rPr>
                <w:rFonts w:ascii="宋体" w:eastAsiaTheme="minorEastAsia"/>
                <w:kern w:val="0"/>
                <w:szCs w:val="21"/>
              </w:rPr>
            </w:pPr>
            <w:r>
              <w:rPr>
                <w:rFonts w:ascii="宋体" w:eastAsiaTheme="minorEastAsia"/>
                <w:kern w:val="0"/>
                <w:szCs w:val="21"/>
              </w:rPr>
              <w:t>计算</w:t>
            </w:r>
          </w:p>
        </w:tc>
        <w:tc>
          <w:tcPr>
            <w:tcW w:w="903" w:type="pct"/>
            <w:vAlign w:val="center"/>
          </w:tcPr>
          <w:p w14:paraId="21E343C2">
            <w:pPr>
              <w:spacing w:line="276" w:lineRule="auto"/>
              <w:jc w:val="center"/>
              <w:rPr>
                <w:rFonts w:ascii="宋体" w:eastAsiaTheme="minorEastAsia"/>
                <w:kern w:val="0"/>
                <w:szCs w:val="21"/>
              </w:rPr>
            </w:pPr>
            <w:r>
              <w:rPr>
                <w:rFonts w:ascii="宋体" w:eastAsiaTheme="minorEastAsia"/>
                <w:kern w:val="0"/>
                <w:szCs w:val="21"/>
              </w:rPr>
              <w:t>平均</w:t>
            </w:r>
          </w:p>
        </w:tc>
        <w:tc>
          <w:tcPr>
            <w:tcW w:w="763" w:type="pct"/>
            <w:vAlign w:val="center"/>
          </w:tcPr>
          <w:p w14:paraId="5E924BD7">
            <w:pPr>
              <w:spacing w:line="276" w:lineRule="auto"/>
              <w:jc w:val="center"/>
              <w:rPr>
                <w:rFonts w:ascii="宋体" w:eastAsiaTheme="minorEastAsia"/>
                <w:kern w:val="0"/>
                <w:szCs w:val="21"/>
              </w:rPr>
            </w:pPr>
            <w:r>
              <w:rPr>
                <w:rFonts w:ascii="宋体" w:eastAsiaTheme="minorEastAsia"/>
                <w:kern w:val="0"/>
                <w:szCs w:val="21"/>
              </w:rPr>
              <w:t>估算</w:t>
            </w:r>
          </w:p>
        </w:tc>
        <w:tc>
          <w:tcPr>
            <w:tcW w:w="833" w:type="pct"/>
            <w:vAlign w:val="center"/>
          </w:tcPr>
          <w:p w14:paraId="575345C1">
            <w:pPr>
              <w:spacing w:line="276" w:lineRule="auto"/>
              <w:jc w:val="center"/>
              <w:rPr>
                <w:rFonts w:ascii="宋体" w:eastAsiaTheme="minorEastAsia"/>
                <w:kern w:val="0"/>
                <w:szCs w:val="21"/>
              </w:rPr>
            </w:pPr>
            <w:r>
              <w:rPr>
                <w:rFonts w:ascii="宋体" w:eastAsiaTheme="minorEastAsia"/>
                <w:kern w:val="0"/>
                <w:szCs w:val="21"/>
              </w:rPr>
              <w:t>未知</w:t>
            </w:r>
          </w:p>
        </w:tc>
      </w:tr>
      <w:tr w14:paraId="6C66F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 w:type="pct"/>
            <w:vAlign w:val="center"/>
          </w:tcPr>
          <w:p w14:paraId="521ABEDE">
            <w:pPr>
              <w:spacing w:line="276" w:lineRule="auto"/>
              <w:jc w:val="center"/>
              <w:rPr>
                <w:rFonts w:ascii="宋体" w:eastAsiaTheme="minorEastAsia"/>
                <w:kern w:val="0"/>
                <w:szCs w:val="21"/>
              </w:rPr>
            </w:pPr>
            <w:r>
              <w:rPr>
                <w:rFonts w:ascii="宋体" w:eastAsiaTheme="minorEastAsia"/>
                <w:kern w:val="0"/>
                <w:szCs w:val="21"/>
              </w:rPr>
              <w:t>时间相关性</w:t>
            </w:r>
          </w:p>
        </w:tc>
        <w:tc>
          <w:tcPr>
            <w:tcW w:w="833" w:type="pct"/>
            <w:vAlign w:val="center"/>
          </w:tcPr>
          <w:p w14:paraId="0B03E653">
            <w:pPr>
              <w:spacing w:line="276" w:lineRule="auto"/>
              <w:jc w:val="center"/>
              <w:rPr>
                <w:rFonts w:ascii="宋体" w:eastAsiaTheme="minorEastAsia"/>
                <w:kern w:val="0"/>
                <w:szCs w:val="21"/>
              </w:rPr>
            </w:pPr>
            <w:r>
              <w:rPr>
                <w:rFonts w:ascii="宋体" w:eastAsiaTheme="minorEastAsia"/>
                <w:kern w:val="0"/>
                <w:szCs w:val="21"/>
              </w:rPr>
              <w:t>≤1年</w:t>
            </w:r>
          </w:p>
        </w:tc>
        <w:tc>
          <w:tcPr>
            <w:tcW w:w="833" w:type="pct"/>
            <w:vAlign w:val="center"/>
          </w:tcPr>
          <w:p w14:paraId="0501372F">
            <w:pPr>
              <w:spacing w:line="276" w:lineRule="auto"/>
              <w:jc w:val="center"/>
              <w:rPr>
                <w:rFonts w:ascii="宋体" w:eastAsiaTheme="minorEastAsia"/>
                <w:kern w:val="0"/>
                <w:szCs w:val="21"/>
              </w:rPr>
            </w:pPr>
            <w:r>
              <w:rPr>
                <w:rFonts w:ascii="宋体" w:eastAsiaTheme="minorEastAsia"/>
                <w:kern w:val="0"/>
                <w:szCs w:val="21"/>
              </w:rPr>
              <w:t>＞1年，≤5年</w:t>
            </w:r>
          </w:p>
        </w:tc>
        <w:tc>
          <w:tcPr>
            <w:tcW w:w="903" w:type="pct"/>
            <w:vAlign w:val="center"/>
          </w:tcPr>
          <w:p w14:paraId="5819AD16">
            <w:pPr>
              <w:spacing w:line="276" w:lineRule="auto"/>
              <w:jc w:val="center"/>
              <w:rPr>
                <w:rFonts w:ascii="宋体" w:eastAsiaTheme="minorEastAsia"/>
                <w:kern w:val="0"/>
                <w:szCs w:val="21"/>
              </w:rPr>
            </w:pPr>
            <w:r>
              <w:rPr>
                <w:rFonts w:ascii="宋体" w:eastAsiaTheme="minorEastAsia"/>
                <w:kern w:val="0"/>
                <w:szCs w:val="21"/>
              </w:rPr>
              <w:t>＞5年，≤10年</w:t>
            </w:r>
          </w:p>
        </w:tc>
        <w:tc>
          <w:tcPr>
            <w:tcW w:w="763" w:type="pct"/>
            <w:vAlign w:val="center"/>
          </w:tcPr>
          <w:p w14:paraId="478D7182">
            <w:pPr>
              <w:spacing w:line="276" w:lineRule="auto"/>
              <w:jc w:val="center"/>
              <w:rPr>
                <w:rFonts w:ascii="宋体" w:eastAsiaTheme="minorEastAsia"/>
                <w:kern w:val="0"/>
                <w:szCs w:val="21"/>
              </w:rPr>
            </w:pPr>
            <w:r>
              <w:rPr>
                <w:rFonts w:ascii="宋体" w:eastAsiaTheme="minorEastAsia"/>
                <w:kern w:val="0"/>
                <w:szCs w:val="21"/>
              </w:rPr>
              <w:t>＞10年，≤15年</w:t>
            </w:r>
          </w:p>
        </w:tc>
        <w:tc>
          <w:tcPr>
            <w:tcW w:w="833" w:type="pct"/>
            <w:vAlign w:val="center"/>
          </w:tcPr>
          <w:p w14:paraId="4BF66FBE">
            <w:pPr>
              <w:spacing w:line="276" w:lineRule="auto"/>
              <w:jc w:val="center"/>
              <w:rPr>
                <w:rFonts w:ascii="宋体" w:eastAsiaTheme="minorEastAsia"/>
                <w:kern w:val="0"/>
                <w:szCs w:val="21"/>
              </w:rPr>
            </w:pPr>
            <w:r>
              <w:rPr>
                <w:rFonts w:ascii="宋体" w:eastAsiaTheme="minorEastAsia"/>
                <w:kern w:val="0"/>
                <w:szCs w:val="21"/>
              </w:rPr>
              <w:t>＞15年，或未知</w:t>
            </w:r>
          </w:p>
        </w:tc>
      </w:tr>
      <w:tr w14:paraId="32502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 w:type="pct"/>
            <w:vAlign w:val="center"/>
          </w:tcPr>
          <w:p w14:paraId="2740F8CD">
            <w:pPr>
              <w:spacing w:line="276" w:lineRule="auto"/>
              <w:jc w:val="center"/>
              <w:rPr>
                <w:rFonts w:ascii="宋体" w:eastAsiaTheme="minorEastAsia"/>
                <w:kern w:val="0"/>
                <w:szCs w:val="21"/>
              </w:rPr>
            </w:pPr>
            <w:r>
              <w:rPr>
                <w:rFonts w:ascii="宋体" w:eastAsiaTheme="minorEastAsia"/>
                <w:kern w:val="0"/>
                <w:szCs w:val="21"/>
              </w:rPr>
              <w:t>地理相关性</w:t>
            </w:r>
          </w:p>
        </w:tc>
        <w:tc>
          <w:tcPr>
            <w:tcW w:w="833" w:type="pct"/>
            <w:vAlign w:val="center"/>
          </w:tcPr>
          <w:p w14:paraId="19C1C0F3">
            <w:pPr>
              <w:spacing w:line="276" w:lineRule="auto"/>
              <w:jc w:val="center"/>
              <w:rPr>
                <w:rFonts w:ascii="宋体" w:eastAsiaTheme="minorEastAsia"/>
                <w:kern w:val="0"/>
                <w:szCs w:val="21"/>
              </w:rPr>
            </w:pPr>
            <w:r>
              <w:rPr>
                <w:rFonts w:ascii="宋体" w:eastAsiaTheme="minorEastAsia"/>
                <w:kern w:val="0"/>
                <w:szCs w:val="21"/>
              </w:rPr>
              <w:t>本区域数据</w:t>
            </w:r>
          </w:p>
        </w:tc>
        <w:tc>
          <w:tcPr>
            <w:tcW w:w="833" w:type="pct"/>
            <w:vAlign w:val="center"/>
          </w:tcPr>
          <w:p w14:paraId="0B22D232">
            <w:pPr>
              <w:spacing w:line="276" w:lineRule="auto"/>
              <w:jc w:val="center"/>
              <w:rPr>
                <w:rFonts w:ascii="宋体" w:eastAsiaTheme="minorEastAsia"/>
                <w:kern w:val="0"/>
                <w:szCs w:val="21"/>
              </w:rPr>
            </w:pPr>
            <w:r>
              <w:rPr>
                <w:rFonts w:ascii="宋体" w:eastAsiaTheme="minorEastAsia"/>
                <w:kern w:val="0"/>
                <w:szCs w:val="21"/>
              </w:rPr>
              <w:t>包含本区域的较大区域范围平均数据</w:t>
            </w:r>
          </w:p>
        </w:tc>
        <w:tc>
          <w:tcPr>
            <w:tcW w:w="903" w:type="pct"/>
            <w:vAlign w:val="center"/>
          </w:tcPr>
          <w:p w14:paraId="69B602EC">
            <w:pPr>
              <w:spacing w:line="276" w:lineRule="auto"/>
              <w:jc w:val="center"/>
              <w:rPr>
                <w:rFonts w:ascii="宋体" w:eastAsiaTheme="minorEastAsia"/>
                <w:kern w:val="0"/>
                <w:szCs w:val="21"/>
              </w:rPr>
            </w:pPr>
            <w:r>
              <w:rPr>
                <w:rFonts w:ascii="宋体" w:eastAsiaTheme="minorEastAsia"/>
                <w:kern w:val="0"/>
                <w:szCs w:val="21"/>
              </w:rPr>
              <w:t>类似生产条件的区域数据</w:t>
            </w:r>
          </w:p>
        </w:tc>
        <w:tc>
          <w:tcPr>
            <w:tcW w:w="763" w:type="pct"/>
            <w:vAlign w:val="center"/>
          </w:tcPr>
          <w:p w14:paraId="54496A6B">
            <w:pPr>
              <w:spacing w:line="276" w:lineRule="auto"/>
              <w:jc w:val="center"/>
              <w:rPr>
                <w:rFonts w:ascii="宋体" w:eastAsiaTheme="minorEastAsia"/>
                <w:kern w:val="0"/>
                <w:szCs w:val="21"/>
              </w:rPr>
            </w:pPr>
            <w:r>
              <w:rPr>
                <w:rFonts w:ascii="宋体" w:eastAsiaTheme="minorEastAsia"/>
                <w:kern w:val="0"/>
                <w:szCs w:val="21"/>
              </w:rPr>
              <w:t>稍微类似生产条件的区域数据</w:t>
            </w:r>
          </w:p>
        </w:tc>
        <w:tc>
          <w:tcPr>
            <w:tcW w:w="833" w:type="pct"/>
            <w:vAlign w:val="center"/>
          </w:tcPr>
          <w:p w14:paraId="2C6D8048">
            <w:pPr>
              <w:spacing w:line="276" w:lineRule="auto"/>
              <w:jc w:val="center"/>
              <w:rPr>
                <w:rFonts w:ascii="宋体" w:eastAsiaTheme="minorEastAsia"/>
                <w:kern w:val="0"/>
                <w:szCs w:val="21"/>
              </w:rPr>
            </w:pPr>
            <w:r>
              <w:rPr>
                <w:rFonts w:ascii="宋体" w:eastAsiaTheme="minorEastAsia"/>
                <w:kern w:val="0"/>
                <w:szCs w:val="21"/>
              </w:rPr>
              <w:t>未知或生产条件完全不同的区域数据</w:t>
            </w:r>
          </w:p>
        </w:tc>
      </w:tr>
      <w:tr w14:paraId="0ADCD2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 w:type="pct"/>
            <w:vAlign w:val="center"/>
          </w:tcPr>
          <w:p w14:paraId="05D3DC36">
            <w:pPr>
              <w:spacing w:line="276" w:lineRule="auto"/>
              <w:jc w:val="center"/>
              <w:rPr>
                <w:rFonts w:ascii="宋体" w:eastAsiaTheme="minorEastAsia"/>
                <w:kern w:val="0"/>
                <w:szCs w:val="21"/>
              </w:rPr>
            </w:pPr>
            <w:r>
              <w:rPr>
                <w:rFonts w:ascii="宋体" w:eastAsiaTheme="minorEastAsia"/>
                <w:kern w:val="0"/>
                <w:szCs w:val="21"/>
              </w:rPr>
              <w:t>技术相关性</w:t>
            </w:r>
          </w:p>
        </w:tc>
        <w:tc>
          <w:tcPr>
            <w:tcW w:w="833" w:type="pct"/>
            <w:vAlign w:val="center"/>
          </w:tcPr>
          <w:p w14:paraId="0241F4A2">
            <w:pPr>
              <w:spacing w:line="276" w:lineRule="auto"/>
              <w:jc w:val="center"/>
              <w:rPr>
                <w:rFonts w:ascii="宋体" w:eastAsiaTheme="minorEastAsia"/>
                <w:kern w:val="0"/>
                <w:szCs w:val="21"/>
              </w:rPr>
            </w:pPr>
            <w:r>
              <w:rPr>
                <w:rFonts w:ascii="宋体" w:eastAsiaTheme="minorEastAsia"/>
                <w:kern w:val="0"/>
                <w:szCs w:val="21"/>
              </w:rPr>
              <w:t>从生产链直接获得的数据</w:t>
            </w:r>
          </w:p>
        </w:tc>
        <w:tc>
          <w:tcPr>
            <w:tcW w:w="833" w:type="pct"/>
            <w:vAlign w:val="center"/>
          </w:tcPr>
          <w:p w14:paraId="1FEF0308">
            <w:pPr>
              <w:spacing w:line="276" w:lineRule="auto"/>
              <w:jc w:val="center"/>
              <w:rPr>
                <w:rFonts w:ascii="宋体" w:eastAsiaTheme="minorEastAsia"/>
                <w:kern w:val="0"/>
                <w:szCs w:val="21"/>
              </w:rPr>
            </w:pPr>
            <w:r>
              <w:rPr>
                <w:rFonts w:ascii="宋体" w:eastAsiaTheme="minorEastAsia"/>
                <w:kern w:val="0"/>
                <w:szCs w:val="21"/>
              </w:rPr>
              <w:t>代表相同工艺、相同技术水平的数据</w:t>
            </w:r>
          </w:p>
        </w:tc>
        <w:tc>
          <w:tcPr>
            <w:tcW w:w="903" w:type="pct"/>
            <w:vAlign w:val="center"/>
          </w:tcPr>
          <w:p w14:paraId="446C41BE">
            <w:pPr>
              <w:spacing w:line="276" w:lineRule="auto"/>
              <w:jc w:val="center"/>
              <w:rPr>
                <w:rFonts w:ascii="宋体" w:eastAsiaTheme="minorEastAsia"/>
                <w:kern w:val="0"/>
                <w:szCs w:val="21"/>
              </w:rPr>
            </w:pPr>
            <w:r>
              <w:rPr>
                <w:rFonts w:ascii="宋体" w:eastAsiaTheme="minorEastAsia"/>
                <w:kern w:val="0"/>
                <w:szCs w:val="21"/>
              </w:rPr>
              <w:t>代表相同工艺，相近技术水平的数据</w:t>
            </w:r>
          </w:p>
        </w:tc>
        <w:tc>
          <w:tcPr>
            <w:tcW w:w="763" w:type="pct"/>
            <w:vAlign w:val="center"/>
          </w:tcPr>
          <w:p w14:paraId="48E5A0DE">
            <w:pPr>
              <w:spacing w:line="276" w:lineRule="auto"/>
              <w:jc w:val="center"/>
              <w:rPr>
                <w:rFonts w:ascii="宋体" w:eastAsiaTheme="minorEastAsia"/>
                <w:kern w:val="0"/>
                <w:szCs w:val="21"/>
              </w:rPr>
            </w:pPr>
            <w:r>
              <w:rPr>
                <w:rFonts w:ascii="宋体" w:eastAsiaTheme="minorEastAsia"/>
                <w:kern w:val="0"/>
                <w:szCs w:val="21"/>
              </w:rPr>
              <w:t>代表相同工艺、技术水平差距较大的数据</w:t>
            </w:r>
          </w:p>
        </w:tc>
        <w:tc>
          <w:tcPr>
            <w:tcW w:w="833" w:type="pct"/>
            <w:vAlign w:val="center"/>
          </w:tcPr>
          <w:p w14:paraId="150A1EAD">
            <w:pPr>
              <w:spacing w:line="276" w:lineRule="auto"/>
              <w:jc w:val="center"/>
              <w:rPr>
                <w:rFonts w:ascii="宋体" w:eastAsiaTheme="minorEastAsia"/>
                <w:kern w:val="0"/>
                <w:szCs w:val="21"/>
              </w:rPr>
            </w:pPr>
            <w:r>
              <w:rPr>
                <w:rFonts w:ascii="宋体" w:eastAsiaTheme="minorEastAsia"/>
                <w:kern w:val="0"/>
                <w:szCs w:val="21"/>
              </w:rPr>
              <w:t>未知或不同工艺的数据</w:t>
            </w:r>
          </w:p>
        </w:tc>
      </w:tr>
    </w:tbl>
    <w:p w14:paraId="6FF8F9F1">
      <w:pPr>
        <w:pStyle w:val="26"/>
        <w:spacing w:line="276" w:lineRule="auto"/>
        <w:rPr>
          <w:rFonts w:ascii="Times New Roman"/>
          <w:szCs w:val="21"/>
        </w:rPr>
      </w:pPr>
    </w:p>
    <w:p w14:paraId="1E21AF2A">
      <w:pPr>
        <w:spacing w:line="276" w:lineRule="auto"/>
        <w:ind w:firstLine="420" w:firstLineChars="200"/>
      </w:pPr>
    </w:p>
    <w:p w14:paraId="4E06D1BC">
      <w:pPr>
        <w:widowControl/>
        <w:spacing w:line="276" w:lineRule="auto"/>
        <w:jc w:val="left"/>
        <w:rPr>
          <w:sz w:val="28"/>
          <w:szCs w:val="32"/>
        </w:rPr>
      </w:pPr>
      <w:r>
        <w:rPr>
          <w:sz w:val="28"/>
          <w:szCs w:val="32"/>
        </w:rPr>
        <w:br w:type="page"/>
      </w:r>
    </w:p>
    <w:p w14:paraId="79EDC578">
      <w:pPr>
        <w:spacing w:line="276" w:lineRule="auto"/>
        <w:jc w:val="center"/>
        <w:outlineLvl w:val="0"/>
        <w:rPr>
          <w:sz w:val="24"/>
        </w:rPr>
      </w:pPr>
      <w:bookmarkStart w:id="47" w:name="_Toc20909"/>
      <w:r>
        <w:rPr>
          <w:sz w:val="28"/>
          <w:szCs w:val="32"/>
        </w:rPr>
        <w:t>附录D</w:t>
      </w:r>
      <w:r>
        <w:rPr>
          <w:sz w:val="28"/>
          <w:szCs w:val="32"/>
        </w:rPr>
        <w:br w:type="textWrapping"/>
      </w:r>
      <w:r>
        <w:rPr>
          <w:sz w:val="24"/>
        </w:rPr>
        <w:t>（资料性）</w:t>
      </w:r>
      <w:r>
        <w:rPr>
          <w:sz w:val="24"/>
        </w:rPr>
        <w:br w:type="textWrapping"/>
      </w:r>
      <w:r>
        <w:rPr>
          <w:rFonts w:hint="eastAsia"/>
          <w:sz w:val="24"/>
        </w:rPr>
        <w:t>GWP参考值</w:t>
      </w:r>
      <w:bookmarkEnd w:id="47"/>
    </w:p>
    <w:p w14:paraId="2FC75AAA">
      <w:pPr>
        <w:spacing w:line="276" w:lineRule="auto"/>
        <w:ind w:firstLine="420" w:firstLineChars="200"/>
        <w:rPr>
          <w:szCs w:val="21"/>
        </w:rPr>
      </w:pPr>
      <w:r>
        <w:rPr>
          <w:szCs w:val="21"/>
        </w:rPr>
        <w:t>温室气体全球变暖潜势见表D.1。</w:t>
      </w:r>
    </w:p>
    <w:p w14:paraId="10D272BF">
      <w:pPr>
        <w:spacing w:line="276" w:lineRule="auto"/>
        <w:jc w:val="center"/>
      </w:pPr>
      <w:r>
        <w:rPr>
          <w:szCs w:val="21"/>
        </w:rPr>
        <w:t>表D.1  部分GHG的GWP</w:t>
      </w:r>
    </w:p>
    <w:tbl>
      <w:tblPr>
        <w:tblStyle w:val="154"/>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06"/>
        <w:gridCol w:w="3202"/>
        <w:gridCol w:w="3947"/>
      </w:tblGrid>
      <w:tr w14:paraId="2E291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36" w:type="pct"/>
          </w:tcPr>
          <w:p w14:paraId="1B29D19B">
            <w:pPr>
              <w:pStyle w:val="153"/>
              <w:spacing w:before="55" w:line="222" w:lineRule="auto"/>
              <w:ind w:left="695"/>
              <w:rPr>
                <w:rFonts w:ascii="Times New Roman" w:hAnsi="Times New Roman" w:cs="Times New Roman"/>
                <w:sz w:val="21"/>
                <w:szCs w:val="21"/>
              </w:rPr>
            </w:pPr>
            <w:r>
              <w:rPr>
                <w:rFonts w:ascii="Times New Roman" w:hAnsi="Times New Roman" w:cs="Times New Roman"/>
                <w:spacing w:val="-2"/>
                <w:sz w:val="21"/>
                <w:szCs w:val="21"/>
              </w:rPr>
              <w:t>气体名称</w:t>
            </w:r>
          </w:p>
        </w:tc>
        <w:tc>
          <w:tcPr>
            <w:tcW w:w="1641" w:type="pct"/>
          </w:tcPr>
          <w:p w14:paraId="53A3FA21">
            <w:pPr>
              <w:pStyle w:val="153"/>
              <w:spacing w:before="56" w:line="221" w:lineRule="auto"/>
              <w:ind w:left="843"/>
              <w:rPr>
                <w:rFonts w:ascii="Times New Roman" w:hAnsi="Times New Roman" w:cs="Times New Roman"/>
                <w:sz w:val="21"/>
                <w:szCs w:val="21"/>
              </w:rPr>
            </w:pPr>
            <w:r>
              <w:rPr>
                <w:rFonts w:ascii="Times New Roman" w:hAnsi="Times New Roman" w:cs="Times New Roman"/>
                <w:spacing w:val="-2"/>
                <w:sz w:val="21"/>
                <w:szCs w:val="21"/>
              </w:rPr>
              <w:t>化学分子式</w:t>
            </w:r>
          </w:p>
        </w:tc>
        <w:tc>
          <w:tcPr>
            <w:tcW w:w="2022" w:type="pct"/>
          </w:tcPr>
          <w:p w14:paraId="4950540C">
            <w:pPr>
              <w:pStyle w:val="153"/>
              <w:spacing w:before="55" w:line="214" w:lineRule="auto"/>
              <w:ind w:left="503"/>
              <w:rPr>
                <w:rFonts w:ascii="Times New Roman" w:hAnsi="Times New Roman" w:eastAsia="Times New Roman" w:cs="Times New Roman"/>
                <w:sz w:val="21"/>
                <w:szCs w:val="21"/>
                <w:lang w:eastAsia="zh-CN"/>
              </w:rPr>
            </w:pPr>
            <w:r>
              <w:rPr>
                <w:rFonts w:ascii="Times New Roman" w:hAnsi="Times New Roman" w:eastAsia="Times New Roman" w:cs="Times New Roman"/>
                <w:spacing w:val="-2"/>
                <w:sz w:val="21"/>
                <w:szCs w:val="21"/>
                <w:lang w:eastAsia="zh-CN"/>
              </w:rPr>
              <w:t>100</w:t>
            </w:r>
            <w:r>
              <w:rPr>
                <w:rFonts w:ascii="Times New Roman" w:hAnsi="Times New Roman" w:cs="Times New Roman"/>
                <w:spacing w:val="-2"/>
                <w:sz w:val="21"/>
                <w:szCs w:val="21"/>
                <w:lang w:eastAsia="zh-CN"/>
              </w:rPr>
              <w:t>年的</w:t>
            </w:r>
            <w:r>
              <w:rPr>
                <w:rFonts w:ascii="Times New Roman" w:hAnsi="Times New Roman" w:eastAsia="Times New Roman" w:cs="Times New Roman"/>
                <w:spacing w:val="-2"/>
                <w:sz w:val="21"/>
                <w:szCs w:val="21"/>
                <w:lang w:eastAsia="zh-CN"/>
              </w:rPr>
              <w:t>GWP(</w:t>
            </w:r>
            <w:r>
              <w:rPr>
                <w:rFonts w:ascii="Times New Roman" w:hAnsi="Times New Roman" w:cs="Times New Roman"/>
                <w:spacing w:val="-2"/>
                <w:sz w:val="21"/>
                <w:szCs w:val="21"/>
                <w:lang w:eastAsia="zh-CN"/>
              </w:rPr>
              <w:t>截至出版时</w:t>
            </w:r>
            <w:r>
              <w:rPr>
                <w:rFonts w:ascii="Times New Roman" w:hAnsi="Times New Roman" w:eastAsia="Times New Roman" w:cs="Times New Roman"/>
                <w:spacing w:val="-2"/>
                <w:sz w:val="21"/>
                <w:szCs w:val="21"/>
                <w:lang w:eastAsia="zh-CN"/>
              </w:rPr>
              <w:t>)</w:t>
            </w:r>
          </w:p>
        </w:tc>
      </w:tr>
      <w:tr w14:paraId="33191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E66381E">
            <w:pPr>
              <w:pStyle w:val="153"/>
              <w:spacing w:before="51" w:line="220" w:lineRule="auto"/>
              <w:ind w:left="697"/>
              <w:rPr>
                <w:rFonts w:ascii="Times New Roman" w:hAnsi="Times New Roman" w:cs="Times New Roman"/>
                <w:sz w:val="21"/>
                <w:szCs w:val="21"/>
              </w:rPr>
            </w:pPr>
            <w:r>
              <w:rPr>
                <w:rFonts w:ascii="Times New Roman" w:hAnsi="Times New Roman" w:cs="Times New Roman"/>
                <w:spacing w:val="-3"/>
                <w:sz w:val="21"/>
                <w:szCs w:val="21"/>
              </w:rPr>
              <w:t>二氧化碳</w:t>
            </w:r>
          </w:p>
        </w:tc>
        <w:tc>
          <w:tcPr>
            <w:tcW w:w="1641" w:type="pct"/>
          </w:tcPr>
          <w:p w14:paraId="02092380">
            <w:pPr>
              <w:spacing w:before="90" w:line="196" w:lineRule="auto"/>
              <w:ind w:left="1184"/>
              <w:rPr>
                <w:rFonts w:eastAsia="Times New Roman"/>
                <w:sz w:val="13"/>
                <w:szCs w:val="13"/>
              </w:rPr>
            </w:pPr>
            <w:r>
              <w:rPr>
                <w:rFonts w:eastAsia="Times New Roman"/>
                <w:color w:val="221F1F"/>
                <w:szCs w:val="21"/>
              </w:rPr>
              <w:t>CO</w:t>
            </w:r>
            <w:r>
              <w:rPr>
                <w:rFonts w:eastAsia="Times New Roman"/>
                <w:color w:val="221F1F"/>
                <w:position w:val="-1"/>
                <w:sz w:val="13"/>
                <w:szCs w:val="13"/>
              </w:rPr>
              <w:t>2</w:t>
            </w:r>
          </w:p>
        </w:tc>
        <w:tc>
          <w:tcPr>
            <w:tcW w:w="2022" w:type="pct"/>
          </w:tcPr>
          <w:p w14:paraId="43E6354D">
            <w:pPr>
              <w:spacing w:before="90" w:line="187" w:lineRule="auto"/>
              <w:ind w:left="1645"/>
              <w:rPr>
                <w:rFonts w:eastAsia="Times New Roman"/>
                <w:szCs w:val="21"/>
              </w:rPr>
            </w:pPr>
            <w:r>
              <w:rPr>
                <w:rFonts w:eastAsia="Times New Roman"/>
                <w:szCs w:val="21"/>
              </w:rPr>
              <w:t>1</w:t>
            </w:r>
          </w:p>
        </w:tc>
      </w:tr>
      <w:tr w14:paraId="1249B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CDDFB94">
            <w:pPr>
              <w:pStyle w:val="153"/>
              <w:spacing w:before="52" w:line="221" w:lineRule="auto"/>
              <w:ind w:left="932"/>
              <w:rPr>
                <w:rFonts w:ascii="Times New Roman" w:hAnsi="Times New Roman" w:cs="Times New Roman"/>
                <w:sz w:val="21"/>
                <w:szCs w:val="21"/>
              </w:rPr>
            </w:pPr>
            <w:r>
              <w:rPr>
                <w:rFonts w:ascii="Times New Roman" w:hAnsi="Times New Roman" w:cs="Times New Roman"/>
                <w:color w:val="221F1F"/>
                <w:spacing w:val="-9"/>
                <w:sz w:val="21"/>
                <w:szCs w:val="21"/>
              </w:rPr>
              <w:t>甲烷</w:t>
            </w:r>
          </w:p>
        </w:tc>
        <w:tc>
          <w:tcPr>
            <w:tcW w:w="1641" w:type="pct"/>
          </w:tcPr>
          <w:p w14:paraId="3AFFE19A">
            <w:pPr>
              <w:spacing w:before="91" w:line="196" w:lineRule="auto"/>
              <w:ind w:left="1184"/>
              <w:rPr>
                <w:rFonts w:eastAsia="Times New Roman"/>
                <w:sz w:val="13"/>
                <w:szCs w:val="13"/>
              </w:rPr>
            </w:pPr>
            <w:r>
              <w:rPr>
                <w:rFonts w:eastAsia="Times New Roman"/>
                <w:color w:val="221F1F"/>
                <w:szCs w:val="21"/>
              </w:rPr>
              <w:t>CH</w:t>
            </w:r>
            <w:r>
              <w:rPr>
                <w:rFonts w:eastAsia="Times New Roman"/>
                <w:color w:val="221F1F"/>
                <w:position w:val="-1"/>
                <w:sz w:val="13"/>
                <w:szCs w:val="13"/>
              </w:rPr>
              <w:t>4</w:t>
            </w:r>
          </w:p>
        </w:tc>
        <w:tc>
          <w:tcPr>
            <w:tcW w:w="2022" w:type="pct"/>
          </w:tcPr>
          <w:p w14:paraId="1CA561C1">
            <w:pPr>
              <w:spacing w:before="90" w:line="187" w:lineRule="auto"/>
              <w:ind w:left="1495"/>
              <w:rPr>
                <w:rFonts w:eastAsia="Times New Roman"/>
                <w:szCs w:val="21"/>
                <w:highlight w:val="yellow"/>
              </w:rPr>
            </w:pPr>
            <w:r>
              <w:rPr>
                <w:rFonts w:eastAsia="Times New Roman"/>
                <w:spacing w:val="-1"/>
                <w:szCs w:val="21"/>
                <w:highlight w:val="yellow"/>
              </w:rPr>
              <w:t>27.9</w:t>
            </w:r>
          </w:p>
        </w:tc>
      </w:tr>
      <w:tr w14:paraId="5B11A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530AD8AF">
            <w:pPr>
              <w:pStyle w:val="153"/>
              <w:spacing w:before="52" w:line="220" w:lineRule="auto"/>
              <w:ind w:left="695"/>
              <w:rPr>
                <w:rFonts w:ascii="Times New Roman" w:hAnsi="Times New Roman" w:cs="Times New Roman"/>
                <w:sz w:val="21"/>
                <w:szCs w:val="21"/>
              </w:rPr>
            </w:pPr>
            <w:r>
              <w:rPr>
                <w:rFonts w:ascii="Times New Roman" w:hAnsi="Times New Roman" w:cs="Times New Roman"/>
                <w:spacing w:val="-2"/>
                <w:sz w:val="21"/>
                <w:szCs w:val="21"/>
              </w:rPr>
              <w:t>氧化亚氮</w:t>
            </w:r>
          </w:p>
        </w:tc>
        <w:tc>
          <w:tcPr>
            <w:tcW w:w="1641" w:type="pct"/>
          </w:tcPr>
          <w:p w14:paraId="6EB768A2">
            <w:pPr>
              <w:spacing w:before="91" w:line="196" w:lineRule="auto"/>
              <w:ind w:left="1169"/>
              <w:rPr>
                <w:rFonts w:eastAsia="Times New Roman"/>
                <w:szCs w:val="21"/>
              </w:rPr>
            </w:pPr>
            <w:r>
              <w:rPr>
                <w:rFonts w:eastAsia="Times New Roman"/>
                <w:spacing w:val="3"/>
                <w:szCs w:val="21"/>
              </w:rPr>
              <w:t>N</w:t>
            </w:r>
            <w:r>
              <w:rPr>
                <w:rFonts w:eastAsia="Times New Roman"/>
                <w:spacing w:val="3"/>
                <w:position w:val="-1"/>
                <w:sz w:val="13"/>
                <w:szCs w:val="13"/>
              </w:rPr>
              <w:t>2</w:t>
            </w:r>
            <w:r>
              <w:rPr>
                <w:rFonts w:eastAsia="Times New Roman"/>
                <w:spacing w:val="3"/>
                <w:szCs w:val="21"/>
              </w:rPr>
              <w:t>O</w:t>
            </w:r>
          </w:p>
        </w:tc>
        <w:tc>
          <w:tcPr>
            <w:tcW w:w="2022" w:type="pct"/>
          </w:tcPr>
          <w:p w14:paraId="5CD303AB">
            <w:pPr>
              <w:spacing w:before="91" w:line="187" w:lineRule="auto"/>
              <w:ind w:left="1521"/>
              <w:rPr>
                <w:rFonts w:eastAsia="Times New Roman"/>
                <w:szCs w:val="21"/>
                <w:highlight w:val="yellow"/>
              </w:rPr>
            </w:pPr>
            <w:r>
              <w:rPr>
                <w:rFonts w:eastAsia="Times New Roman"/>
                <w:spacing w:val="-1"/>
                <w:szCs w:val="21"/>
                <w:highlight w:val="yellow"/>
              </w:rPr>
              <w:t>273</w:t>
            </w:r>
          </w:p>
        </w:tc>
      </w:tr>
      <w:tr w14:paraId="11606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6B070039">
            <w:pPr>
              <w:pStyle w:val="153"/>
              <w:spacing w:before="55" w:line="220" w:lineRule="auto"/>
              <w:ind w:left="694"/>
              <w:rPr>
                <w:rFonts w:ascii="Times New Roman" w:hAnsi="Times New Roman" w:cs="Times New Roman"/>
                <w:sz w:val="21"/>
                <w:szCs w:val="21"/>
              </w:rPr>
            </w:pPr>
            <w:r>
              <w:rPr>
                <w:rFonts w:ascii="Times New Roman" w:hAnsi="Times New Roman" w:cs="Times New Roman"/>
                <w:spacing w:val="-2"/>
                <w:sz w:val="21"/>
                <w:szCs w:val="21"/>
              </w:rPr>
              <w:t>三氟化氮</w:t>
            </w:r>
          </w:p>
        </w:tc>
        <w:tc>
          <w:tcPr>
            <w:tcW w:w="1641" w:type="pct"/>
          </w:tcPr>
          <w:p w14:paraId="67CEBCCD">
            <w:pPr>
              <w:spacing w:before="97" w:line="193" w:lineRule="auto"/>
              <w:ind w:left="1186"/>
              <w:rPr>
                <w:rFonts w:eastAsia="Times New Roman"/>
                <w:sz w:val="13"/>
                <w:szCs w:val="13"/>
              </w:rPr>
            </w:pPr>
            <w:r>
              <w:rPr>
                <w:rFonts w:eastAsia="Times New Roman"/>
                <w:szCs w:val="21"/>
              </w:rPr>
              <w:t>NF</w:t>
            </w:r>
            <w:r>
              <w:rPr>
                <w:rFonts w:eastAsia="Times New Roman"/>
                <w:spacing w:val="9"/>
                <w:position w:val="-1"/>
                <w:sz w:val="13"/>
                <w:szCs w:val="13"/>
              </w:rPr>
              <w:t>3</w:t>
            </w:r>
          </w:p>
        </w:tc>
        <w:tc>
          <w:tcPr>
            <w:tcW w:w="2022" w:type="pct"/>
          </w:tcPr>
          <w:p w14:paraId="640C2A28">
            <w:pPr>
              <w:spacing w:before="91" w:line="201" w:lineRule="auto"/>
              <w:ind w:left="1410"/>
              <w:rPr>
                <w:rFonts w:eastAsia="Times New Roman"/>
                <w:szCs w:val="21"/>
              </w:rPr>
            </w:pPr>
            <w:r>
              <w:rPr>
                <w:rFonts w:eastAsia="Times New Roman"/>
                <w:color w:val="221F1F"/>
                <w:spacing w:val="-3"/>
                <w:szCs w:val="21"/>
              </w:rPr>
              <w:t>17,400</w:t>
            </w:r>
          </w:p>
        </w:tc>
      </w:tr>
      <w:tr w14:paraId="106EB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248DAD8">
            <w:pPr>
              <w:pStyle w:val="153"/>
              <w:spacing w:before="52" w:line="221" w:lineRule="auto"/>
              <w:ind w:left="696"/>
              <w:rPr>
                <w:rFonts w:ascii="Times New Roman" w:hAnsi="Times New Roman" w:cs="Times New Roman"/>
                <w:sz w:val="21"/>
                <w:szCs w:val="21"/>
              </w:rPr>
            </w:pPr>
            <w:r>
              <w:rPr>
                <w:rFonts w:ascii="Times New Roman" w:hAnsi="Times New Roman" w:cs="Times New Roman"/>
                <w:spacing w:val="-2"/>
                <w:sz w:val="21"/>
                <w:szCs w:val="21"/>
              </w:rPr>
              <w:t>六氟化硫</w:t>
            </w:r>
          </w:p>
        </w:tc>
        <w:tc>
          <w:tcPr>
            <w:tcW w:w="1641" w:type="pct"/>
          </w:tcPr>
          <w:p w14:paraId="155BA4B5">
            <w:pPr>
              <w:spacing w:before="92" w:line="196" w:lineRule="auto"/>
              <w:ind w:left="1219"/>
              <w:rPr>
                <w:rFonts w:eastAsia="Times New Roman"/>
                <w:sz w:val="13"/>
                <w:szCs w:val="13"/>
              </w:rPr>
            </w:pPr>
            <w:r>
              <w:rPr>
                <w:rFonts w:eastAsia="Times New Roman"/>
                <w:spacing w:val="-3"/>
                <w:szCs w:val="21"/>
              </w:rPr>
              <w:t>SF</w:t>
            </w:r>
            <w:r>
              <w:rPr>
                <w:rFonts w:eastAsia="Times New Roman"/>
                <w:spacing w:val="-3"/>
                <w:position w:val="-1"/>
                <w:sz w:val="13"/>
                <w:szCs w:val="13"/>
              </w:rPr>
              <w:t>6</w:t>
            </w:r>
          </w:p>
        </w:tc>
        <w:tc>
          <w:tcPr>
            <w:tcW w:w="2022" w:type="pct"/>
          </w:tcPr>
          <w:p w14:paraId="70699342">
            <w:pPr>
              <w:spacing w:before="91" w:line="187" w:lineRule="auto"/>
              <w:ind w:left="1416"/>
              <w:rPr>
                <w:rFonts w:eastAsia="Times New Roman"/>
                <w:szCs w:val="21"/>
              </w:rPr>
            </w:pPr>
            <w:r>
              <w:rPr>
                <w:rFonts w:eastAsia="Times New Roman"/>
                <w:spacing w:val="-1"/>
                <w:szCs w:val="21"/>
              </w:rPr>
              <w:t>25200</w:t>
            </w:r>
          </w:p>
        </w:tc>
      </w:tr>
      <w:tr w14:paraId="07F7B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3A42BE48">
            <w:pPr>
              <w:pStyle w:val="153"/>
              <w:spacing w:before="54" w:line="221" w:lineRule="auto"/>
              <w:jc w:val="center"/>
              <w:rPr>
                <w:rFonts w:ascii="Times New Roman" w:hAnsi="Times New Roman" w:cs="Times New Roman"/>
                <w:sz w:val="21"/>
                <w:szCs w:val="21"/>
                <w:lang w:eastAsia="zh-CN"/>
              </w:rPr>
            </w:pPr>
            <w:r>
              <w:rPr>
                <w:rFonts w:ascii="Times New Roman" w:hAnsi="Times New Roman" w:cs="Times New Roman"/>
                <w:spacing w:val="-1"/>
                <w:sz w:val="21"/>
                <w:szCs w:val="21"/>
                <w:lang w:eastAsia="zh-CN"/>
              </w:rPr>
              <w:t>氢氟碳化物（</w:t>
            </w:r>
            <w:r>
              <w:rPr>
                <w:rFonts w:ascii="Times New Roman" w:hAnsi="Times New Roman" w:eastAsia="Times New Roman" w:cs="Times New Roman"/>
                <w:spacing w:val="-1"/>
                <w:sz w:val="21"/>
                <w:szCs w:val="21"/>
                <w:lang w:eastAsia="zh-CN"/>
              </w:rPr>
              <w:t>HFCs</w:t>
            </w:r>
            <w:r>
              <w:rPr>
                <w:rFonts w:ascii="Times New Roman" w:hAnsi="Times New Roman" w:cs="Times New Roman"/>
                <w:spacing w:val="-1"/>
                <w:sz w:val="21"/>
                <w:szCs w:val="21"/>
                <w:lang w:eastAsia="zh-CN"/>
              </w:rPr>
              <w:t>）</w:t>
            </w:r>
          </w:p>
        </w:tc>
      </w:tr>
      <w:tr w14:paraId="0DC92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0532FE3B">
            <w:pPr>
              <w:spacing w:before="92" w:line="187" w:lineRule="auto"/>
              <w:ind w:left="766"/>
              <w:rPr>
                <w:rFonts w:eastAsia="Times New Roman"/>
                <w:szCs w:val="21"/>
              </w:rPr>
            </w:pPr>
            <w:r>
              <w:rPr>
                <w:rFonts w:eastAsia="Times New Roman"/>
                <w:spacing w:val="-1"/>
                <w:szCs w:val="21"/>
              </w:rPr>
              <w:t>HFC-23</w:t>
            </w:r>
          </w:p>
        </w:tc>
        <w:tc>
          <w:tcPr>
            <w:tcW w:w="1641" w:type="pct"/>
          </w:tcPr>
          <w:p w14:paraId="32FCB6DE">
            <w:pPr>
              <w:spacing w:before="93" w:line="196" w:lineRule="auto"/>
              <w:ind w:left="1127"/>
              <w:rPr>
                <w:rFonts w:eastAsia="Times New Roman"/>
                <w:sz w:val="13"/>
                <w:szCs w:val="13"/>
              </w:rPr>
            </w:pPr>
            <w:r>
              <w:rPr>
                <w:rFonts w:eastAsia="Times New Roman"/>
                <w:spacing w:val="-1"/>
                <w:szCs w:val="21"/>
              </w:rPr>
              <w:t>CHF</w:t>
            </w:r>
            <w:r>
              <w:rPr>
                <w:rFonts w:eastAsia="Times New Roman"/>
                <w:spacing w:val="-1"/>
                <w:position w:val="-1"/>
                <w:sz w:val="13"/>
                <w:szCs w:val="13"/>
              </w:rPr>
              <w:t>3</w:t>
            </w:r>
          </w:p>
        </w:tc>
        <w:tc>
          <w:tcPr>
            <w:tcW w:w="2022" w:type="pct"/>
          </w:tcPr>
          <w:p w14:paraId="09A2D9D2">
            <w:pPr>
              <w:spacing w:before="92" w:line="187" w:lineRule="auto"/>
              <w:ind w:left="1436"/>
              <w:rPr>
                <w:rFonts w:eastAsia="Times New Roman"/>
                <w:szCs w:val="21"/>
              </w:rPr>
            </w:pPr>
            <w:r>
              <w:rPr>
                <w:rFonts w:eastAsia="Times New Roman"/>
                <w:color w:val="221F1F"/>
                <w:spacing w:val="-4"/>
                <w:szCs w:val="21"/>
              </w:rPr>
              <w:t>14600</w:t>
            </w:r>
          </w:p>
        </w:tc>
      </w:tr>
      <w:tr w14:paraId="25C49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5B8655DD">
            <w:pPr>
              <w:spacing w:before="92" w:line="187" w:lineRule="auto"/>
              <w:ind w:left="766"/>
              <w:rPr>
                <w:rFonts w:eastAsia="Times New Roman"/>
                <w:szCs w:val="21"/>
              </w:rPr>
            </w:pPr>
            <w:r>
              <w:rPr>
                <w:rFonts w:eastAsia="Times New Roman"/>
                <w:spacing w:val="-1"/>
                <w:szCs w:val="21"/>
              </w:rPr>
              <w:t>HFC-32</w:t>
            </w:r>
          </w:p>
        </w:tc>
        <w:tc>
          <w:tcPr>
            <w:tcW w:w="1641" w:type="pct"/>
          </w:tcPr>
          <w:p w14:paraId="179CF85C">
            <w:pPr>
              <w:spacing w:before="92" w:line="196" w:lineRule="auto"/>
              <w:ind w:left="1091"/>
              <w:rPr>
                <w:rFonts w:eastAsia="Times New Roman"/>
                <w:sz w:val="13"/>
                <w:szCs w:val="13"/>
              </w:rPr>
            </w:pPr>
            <w:r>
              <w:rPr>
                <w:rFonts w:eastAsia="Times New Roman"/>
                <w:szCs w:val="21"/>
              </w:rPr>
              <w:t>CH</w:t>
            </w:r>
            <w:r>
              <w:rPr>
                <w:rFonts w:eastAsia="Times New Roman"/>
                <w:spacing w:val="1"/>
                <w:position w:val="-1"/>
                <w:sz w:val="13"/>
                <w:szCs w:val="13"/>
              </w:rPr>
              <w:t>2</w:t>
            </w:r>
            <w:r>
              <w:rPr>
                <w:rFonts w:eastAsia="Times New Roman"/>
                <w:spacing w:val="1"/>
                <w:szCs w:val="21"/>
              </w:rPr>
              <w:t>F</w:t>
            </w:r>
            <w:r>
              <w:rPr>
                <w:rFonts w:eastAsia="Times New Roman"/>
                <w:spacing w:val="1"/>
                <w:position w:val="-1"/>
                <w:sz w:val="13"/>
                <w:szCs w:val="13"/>
              </w:rPr>
              <w:t>2</w:t>
            </w:r>
          </w:p>
        </w:tc>
        <w:tc>
          <w:tcPr>
            <w:tcW w:w="2022" w:type="pct"/>
          </w:tcPr>
          <w:p w14:paraId="6B81D09E">
            <w:pPr>
              <w:spacing w:before="92" w:line="187" w:lineRule="auto"/>
              <w:ind w:left="1525"/>
              <w:rPr>
                <w:rFonts w:eastAsia="Times New Roman"/>
                <w:szCs w:val="21"/>
              </w:rPr>
            </w:pPr>
            <w:r>
              <w:rPr>
                <w:rFonts w:eastAsia="Times New Roman"/>
                <w:color w:val="221F1F"/>
                <w:spacing w:val="-2"/>
                <w:szCs w:val="21"/>
              </w:rPr>
              <w:t>771</w:t>
            </w:r>
          </w:p>
        </w:tc>
      </w:tr>
      <w:tr w14:paraId="6FCF1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793CC856">
            <w:pPr>
              <w:spacing w:before="92" w:line="187" w:lineRule="auto"/>
              <w:ind w:left="766"/>
              <w:rPr>
                <w:rFonts w:eastAsia="Times New Roman"/>
                <w:szCs w:val="21"/>
              </w:rPr>
            </w:pPr>
            <w:r>
              <w:rPr>
                <w:rFonts w:eastAsia="Times New Roman"/>
                <w:spacing w:val="-1"/>
                <w:szCs w:val="21"/>
              </w:rPr>
              <w:t>HFC-41</w:t>
            </w:r>
          </w:p>
        </w:tc>
        <w:tc>
          <w:tcPr>
            <w:tcW w:w="1641" w:type="pct"/>
          </w:tcPr>
          <w:p w14:paraId="38C5F444">
            <w:pPr>
              <w:spacing w:before="93" w:line="196" w:lineRule="auto"/>
              <w:ind w:left="1127"/>
              <w:rPr>
                <w:rFonts w:eastAsia="Times New Roman"/>
                <w:szCs w:val="21"/>
              </w:rPr>
            </w:pPr>
            <w:r>
              <w:rPr>
                <w:rFonts w:eastAsia="Times New Roman"/>
                <w:szCs w:val="21"/>
              </w:rPr>
              <w:t>CH</w:t>
            </w:r>
            <w:r>
              <w:rPr>
                <w:rFonts w:eastAsia="Times New Roman"/>
                <w:position w:val="-1"/>
                <w:sz w:val="13"/>
                <w:szCs w:val="13"/>
              </w:rPr>
              <w:t>3</w:t>
            </w:r>
            <w:r>
              <w:rPr>
                <w:rFonts w:eastAsia="Times New Roman"/>
                <w:szCs w:val="21"/>
              </w:rPr>
              <w:t>F</w:t>
            </w:r>
          </w:p>
        </w:tc>
        <w:tc>
          <w:tcPr>
            <w:tcW w:w="2022" w:type="pct"/>
          </w:tcPr>
          <w:p w14:paraId="5EDF145D">
            <w:pPr>
              <w:spacing w:before="92" w:line="187" w:lineRule="auto"/>
              <w:ind w:left="1542"/>
              <w:rPr>
                <w:rFonts w:eastAsia="Times New Roman"/>
                <w:szCs w:val="21"/>
              </w:rPr>
            </w:pPr>
            <w:r>
              <w:rPr>
                <w:rFonts w:eastAsia="Times New Roman"/>
                <w:color w:val="221F1F"/>
                <w:spacing w:val="-6"/>
                <w:szCs w:val="21"/>
              </w:rPr>
              <w:t>135</w:t>
            </w:r>
          </w:p>
        </w:tc>
      </w:tr>
      <w:tr w14:paraId="10DF5F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43BFEECF">
            <w:pPr>
              <w:spacing w:before="95" w:line="187" w:lineRule="auto"/>
              <w:ind w:left="713"/>
              <w:rPr>
                <w:rFonts w:eastAsia="Times New Roman"/>
                <w:szCs w:val="21"/>
              </w:rPr>
            </w:pPr>
            <w:r>
              <w:rPr>
                <w:rFonts w:eastAsia="Times New Roman"/>
                <w:spacing w:val="-1"/>
                <w:szCs w:val="21"/>
              </w:rPr>
              <w:t>HFC-125</w:t>
            </w:r>
          </w:p>
        </w:tc>
        <w:tc>
          <w:tcPr>
            <w:tcW w:w="1641" w:type="pct"/>
          </w:tcPr>
          <w:p w14:paraId="52EE8C15">
            <w:pPr>
              <w:spacing w:before="96" w:line="196" w:lineRule="auto"/>
              <w:ind w:left="1091"/>
              <w:rPr>
                <w:rFonts w:eastAsia="Times New Roman"/>
                <w:sz w:val="13"/>
                <w:szCs w:val="13"/>
              </w:rPr>
            </w:pPr>
            <w:r>
              <w:rPr>
                <w:rFonts w:eastAsia="Times New Roman"/>
                <w:spacing w:val="1"/>
                <w:szCs w:val="21"/>
              </w:rPr>
              <w:t>C</w:t>
            </w:r>
            <w:r>
              <w:rPr>
                <w:rFonts w:eastAsia="Times New Roman"/>
                <w:spacing w:val="1"/>
                <w:position w:val="-1"/>
                <w:sz w:val="13"/>
                <w:szCs w:val="13"/>
              </w:rPr>
              <w:t>2</w:t>
            </w:r>
            <w:r>
              <w:rPr>
                <w:rFonts w:eastAsia="Times New Roman"/>
                <w:szCs w:val="21"/>
              </w:rPr>
              <w:t>HF</w:t>
            </w:r>
            <w:r>
              <w:rPr>
                <w:rFonts w:eastAsia="Times New Roman"/>
                <w:spacing w:val="1"/>
                <w:position w:val="-1"/>
                <w:sz w:val="13"/>
                <w:szCs w:val="13"/>
              </w:rPr>
              <w:t>5</w:t>
            </w:r>
          </w:p>
        </w:tc>
        <w:tc>
          <w:tcPr>
            <w:tcW w:w="2022" w:type="pct"/>
          </w:tcPr>
          <w:p w14:paraId="469E6A5C">
            <w:pPr>
              <w:spacing w:before="95" w:line="187" w:lineRule="auto"/>
              <w:ind w:left="1473"/>
              <w:rPr>
                <w:rFonts w:eastAsia="Times New Roman"/>
                <w:szCs w:val="21"/>
              </w:rPr>
            </w:pPr>
            <w:r>
              <w:rPr>
                <w:rFonts w:eastAsia="Times New Roman"/>
                <w:color w:val="221F1F"/>
                <w:spacing w:val="-2"/>
                <w:szCs w:val="21"/>
              </w:rPr>
              <w:t>3740</w:t>
            </w:r>
          </w:p>
        </w:tc>
      </w:tr>
      <w:tr w14:paraId="1CAB4E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3F8E028A">
            <w:pPr>
              <w:spacing w:before="93" w:line="187" w:lineRule="auto"/>
              <w:ind w:left="713"/>
              <w:rPr>
                <w:rFonts w:eastAsia="Times New Roman"/>
                <w:szCs w:val="21"/>
              </w:rPr>
            </w:pPr>
            <w:r>
              <w:rPr>
                <w:rFonts w:eastAsia="Times New Roman"/>
                <w:spacing w:val="-1"/>
                <w:szCs w:val="21"/>
              </w:rPr>
              <w:t>HFC-134</w:t>
            </w:r>
          </w:p>
        </w:tc>
        <w:tc>
          <w:tcPr>
            <w:tcW w:w="1641" w:type="pct"/>
          </w:tcPr>
          <w:p w14:paraId="44E5D91F">
            <w:pPr>
              <w:spacing w:before="93" w:line="196" w:lineRule="auto"/>
              <w:ind w:left="887"/>
              <w:rPr>
                <w:rFonts w:eastAsia="Times New Roman"/>
                <w:sz w:val="13"/>
                <w:szCs w:val="13"/>
              </w:rPr>
            </w:pPr>
            <w:r>
              <w:rPr>
                <w:rFonts w:eastAsia="Times New Roman"/>
                <w:szCs w:val="21"/>
              </w:rPr>
              <w:t>CHF</w:t>
            </w:r>
            <w:r>
              <w:rPr>
                <w:rFonts w:eastAsia="Times New Roman"/>
                <w:spacing w:val="2"/>
                <w:position w:val="-1"/>
                <w:sz w:val="13"/>
                <w:szCs w:val="13"/>
              </w:rPr>
              <w:t>2</w:t>
            </w:r>
            <w:r>
              <w:rPr>
                <w:rFonts w:eastAsia="Times New Roman"/>
                <w:szCs w:val="21"/>
              </w:rPr>
              <w:t>CHF</w:t>
            </w:r>
            <w:r>
              <w:rPr>
                <w:rFonts w:eastAsia="Times New Roman"/>
                <w:spacing w:val="2"/>
                <w:position w:val="-1"/>
                <w:sz w:val="13"/>
                <w:szCs w:val="13"/>
              </w:rPr>
              <w:t>2</w:t>
            </w:r>
          </w:p>
        </w:tc>
        <w:tc>
          <w:tcPr>
            <w:tcW w:w="2022" w:type="pct"/>
          </w:tcPr>
          <w:p w14:paraId="14A3E5D6">
            <w:pPr>
              <w:spacing w:before="93" w:line="187" w:lineRule="auto"/>
              <w:ind w:left="1489"/>
              <w:rPr>
                <w:rFonts w:eastAsia="Times New Roman"/>
                <w:szCs w:val="21"/>
              </w:rPr>
            </w:pPr>
            <w:r>
              <w:rPr>
                <w:rFonts w:eastAsia="Times New Roman"/>
                <w:color w:val="221F1F"/>
                <w:spacing w:val="-5"/>
                <w:szCs w:val="21"/>
              </w:rPr>
              <w:t>1260</w:t>
            </w:r>
          </w:p>
        </w:tc>
      </w:tr>
      <w:tr w14:paraId="10418C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2661D7FE">
            <w:pPr>
              <w:spacing w:before="94" w:line="187" w:lineRule="auto"/>
              <w:ind w:left="668"/>
              <w:rPr>
                <w:rFonts w:eastAsia="Times New Roman"/>
                <w:szCs w:val="21"/>
              </w:rPr>
            </w:pPr>
            <w:r>
              <w:rPr>
                <w:rFonts w:eastAsia="Times New Roman"/>
                <w:spacing w:val="-1"/>
                <w:szCs w:val="21"/>
              </w:rPr>
              <w:t>HFC-134a</w:t>
            </w:r>
          </w:p>
        </w:tc>
        <w:tc>
          <w:tcPr>
            <w:tcW w:w="1641" w:type="pct"/>
          </w:tcPr>
          <w:p w14:paraId="342CF61E">
            <w:pPr>
              <w:spacing w:before="94" w:line="196" w:lineRule="auto"/>
              <w:ind w:left="1057"/>
              <w:rPr>
                <w:rFonts w:eastAsia="Times New Roman"/>
                <w:sz w:val="13"/>
                <w:szCs w:val="13"/>
              </w:rPr>
            </w:pPr>
            <w:r>
              <w:rPr>
                <w:rFonts w:eastAsia="Times New Roman"/>
                <w:spacing w:val="1"/>
                <w:szCs w:val="21"/>
              </w:rPr>
              <w:t>C</w:t>
            </w:r>
            <w:r>
              <w:rPr>
                <w:rFonts w:eastAsia="Times New Roman"/>
                <w:spacing w:val="1"/>
                <w:position w:val="-1"/>
                <w:sz w:val="13"/>
                <w:szCs w:val="13"/>
              </w:rPr>
              <w:t>2</w:t>
            </w:r>
            <w:r>
              <w:rPr>
                <w:rFonts w:eastAsia="Times New Roman"/>
                <w:spacing w:val="1"/>
                <w:szCs w:val="21"/>
              </w:rPr>
              <w:t>H</w:t>
            </w:r>
            <w:r>
              <w:rPr>
                <w:rFonts w:eastAsia="Times New Roman"/>
                <w:spacing w:val="1"/>
                <w:position w:val="-1"/>
                <w:sz w:val="13"/>
                <w:szCs w:val="13"/>
              </w:rPr>
              <w:t>2</w:t>
            </w:r>
            <w:r>
              <w:rPr>
                <w:rFonts w:eastAsia="Times New Roman"/>
                <w:spacing w:val="1"/>
                <w:szCs w:val="21"/>
              </w:rPr>
              <w:t>F</w:t>
            </w:r>
            <w:r>
              <w:rPr>
                <w:rFonts w:eastAsia="Times New Roman"/>
                <w:spacing w:val="1"/>
                <w:position w:val="-1"/>
                <w:sz w:val="13"/>
                <w:szCs w:val="13"/>
              </w:rPr>
              <w:t>4</w:t>
            </w:r>
          </w:p>
        </w:tc>
        <w:tc>
          <w:tcPr>
            <w:tcW w:w="2022" w:type="pct"/>
          </w:tcPr>
          <w:p w14:paraId="63E9F1EA">
            <w:pPr>
              <w:spacing w:before="94" w:line="187" w:lineRule="auto"/>
              <w:ind w:left="1489"/>
              <w:rPr>
                <w:rFonts w:eastAsia="Times New Roman"/>
                <w:szCs w:val="21"/>
              </w:rPr>
            </w:pPr>
            <w:r>
              <w:rPr>
                <w:rFonts w:eastAsia="Times New Roman"/>
                <w:color w:val="221F1F"/>
                <w:spacing w:val="-5"/>
                <w:szCs w:val="21"/>
              </w:rPr>
              <w:t>1530</w:t>
            </w:r>
          </w:p>
        </w:tc>
      </w:tr>
      <w:tr w14:paraId="0CA89F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31897228">
            <w:pPr>
              <w:spacing w:before="94" w:line="187" w:lineRule="auto"/>
              <w:ind w:left="713"/>
              <w:rPr>
                <w:rFonts w:eastAsia="Times New Roman"/>
                <w:szCs w:val="21"/>
              </w:rPr>
            </w:pPr>
            <w:r>
              <w:rPr>
                <w:rFonts w:eastAsia="Times New Roman"/>
                <w:spacing w:val="-1"/>
                <w:szCs w:val="21"/>
              </w:rPr>
              <w:t>HFC-143</w:t>
            </w:r>
          </w:p>
        </w:tc>
        <w:tc>
          <w:tcPr>
            <w:tcW w:w="1641" w:type="pct"/>
          </w:tcPr>
          <w:p w14:paraId="461C3C3C">
            <w:pPr>
              <w:spacing w:before="95" w:line="196" w:lineRule="auto"/>
              <w:ind w:left="887"/>
              <w:rPr>
                <w:rFonts w:eastAsia="Times New Roman"/>
                <w:sz w:val="13"/>
                <w:szCs w:val="13"/>
              </w:rPr>
            </w:pPr>
            <w:r>
              <w:rPr>
                <w:rFonts w:eastAsia="Times New Roman"/>
                <w:szCs w:val="21"/>
              </w:rPr>
              <w:t>CH</w:t>
            </w:r>
            <w:r>
              <w:rPr>
                <w:rFonts w:eastAsia="Times New Roman"/>
                <w:spacing w:val="2"/>
                <w:position w:val="-1"/>
                <w:sz w:val="13"/>
                <w:szCs w:val="13"/>
              </w:rPr>
              <w:t>2</w:t>
            </w:r>
            <w:r>
              <w:rPr>
                <w:rFonts w:eastAsia="Times New Roman"/>
                <w:szCs w:val="21"/>
              </w:rPr>
              <w:t>FCHF</w:t>
            </w:r>
            <w:r>
              <w:rPr>
                <w:rFonts w:eastAsia="Times New Roman"/>
                <w:spacing w:val="2"/>
                <w:position w:val="-1"/>
                <w:sz w:val="13"/>
                <w:szCs w:val="13"/>
              </w:rPr>
              <w:t>2</w:t>
            </w:r>
          </w:p>
        </w:tc>
        <w:tc>
          <w:tcPr>
            <w:tcW w:w="2022" w:type="pct"/>
          </w:tcPr>
          <w:p w14:paraId="60B80DF4">
            <w:pPr>
              <w:spacing w:before="94" w:line="187" w:lineRule="auto"/>
              <w:ind w:left="1526"/>
              <w:rPr>
                <w:rFonts w:eastAsia="Times New Roman"/>
                <w:szCs w:val="21"/>
              </w:rPr>
            </w:pPr>
            <w:r>
              <w:rPr>
                <w:rFonts w:eastAsia="Times New Roman"/>
                <w:color w:val="221F1F"/>
                <w:spacing w:val="-2"/>
                <w:szCs w:val="21"/>
              </w:rPr>
              <w:t>364</w:t>
            </w:r>
          </w:p>
        </w:tc>
      </w:tr>
      <w:tr w14:paraId="605E8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6" w:hRule="atLeast"/>
        </w:trPr>
        <w:tc>
          <w:tcPr>
            <w:tcW w:w="1336" w:type="pct"/>
          </w:tcPr>
          <w:p w14:paraId="08283E9F">
            <w:pPr>
              <w:spacing w:before="94" w:line="187" w:lineRule="auto"/>
              <w:ind w:left="668"/>
              <w:rPr>
                <w:rFonts w:eastAsia="Times New Roman"/>
                <w:szCs w:val="21"/>
              </w:rPr>
            </w:pPr>
            <w:r>
              <w:rPr>
                <w:rFonts w:eastAsia="Times New Roman"/>
                <w:spacing w:val="-1"/>
                <w:szCs w:val="21"/>
              </w:rPr>
              <w:t>HFC-143a</w:t>
            </w:r>
          </w:p>
        </w:tc>
        <w:tc>
          <w:tcPr>
            <w:tcW w:w="1641" w:type="pct"/>
          </w:tcPr>
          <w:p w14:paraId="30DA013C">
            <w:pPr>
              <w:spacing w:before="94" w:line="196" w:lineRule="auto"/>
              <w:ind w:left="1021"/>
              <w:rPr>
                <w:rFonts w:eastAsia="Times New Roman"/>
                <w:sz w:val="13"/>
                <w:szCs w:val="13"/>
              </w:rPr>
            </w:pPr>
            <w:r>
              <w:rPr>
                <w:rFonts w:eastAsia="Times New Roman"/>
                <w:szCs w:val="21"/>
              </w:rPr>
              <w:t>CH</w:t>
            </w:r>
            <w:r>
              <w:rPr>
                <w:rFonts w:eastAsia="Times New Roman"/>
                <w:spacing w:val="2"/>
                <w:position w:val="-1"/>
                <w:sz w:val="13"/>
                <w:szCs w:val="13"/>
              </w:rPr>
              <w:t>3</w:t>
            </w:r>
            <w:r>
              <w:rPr>
                <w:rFonts w:eastAsia="Times New Roman"/>
                <w:szCs w:val="21"/>
              </w:rPr>
              <w:t>CF</w:t>
            </w:r>
            <w:r>
              <w:rPr>
                <w:rFonts w:eastAsia="Times New Roman"/>
                <w:spacing w:val="2"/>
                <w:position w:val="-1"/>
                <w:sz w:val="13"/>
                <w:szCs w:val="13"/>
              </w:rPr>
              <w:t>3</w:t>
            </w:r>
          </w:p>
        </w:tc>
        <w:tc>
          <w:tcPr>
            <w:tcW w:w="2022" w:type="pct"/>
          </w:tcPr>
          <w:p w14:paraId="7C163120">
            <w:pPr>
              <w:spacing w:before="94" w:line="187" w:lineRule="auto"/>
              <w:ind w:left="1474"/>
              <w:rPr>
                <w:rFonts w:eastAsia="Times New Roman"/>
                <w:szCs w:val="21"/>
              </w:rPr>
            </w:pPr>
            <w:r>
              <w:rPr>
                <w:rFonts w:eastAsia="Times New Roman"/>
                <w:color w:val="221F1F"/>
                <w:spacing w:val="-2"/>
                <w:szCs w:val="21"/>
              </w:rPr>
              <w:t>5810</w:t>
            </w:r>
          </w:p>
        </w:tc>
      </w:tr>
      <w:tr w14:paraId="6B2BF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0A9847BE">
            <w:pPr>
              <w:spacing w:before="94" w:line="187" w:lineRule="auto"/>
              <w:ind w:left="668"/>
              <w:rPr>
                <w:rFonts w:eastAsia="Times New Roman"/>
                <w:szCs w:val="21"/>
              </w:rPr>
            </w:pPr>
            <w:r>
              <w:rPr>
                <w:rFonts w:eastAsia="Times New Roman"/>
                <w:spacing w:val="-1"/>
                <w:szCs w:val="21"/>
              </w:rPr>
              <w:t>HFC-152a</w:t>
            </w:r>
          </w:p>
        </w:tc>
        <w:tc>
          <w:tcPr>
            <w:tcW w:w="1641" w:type="pct"/>
          </w:tcPr>
          <w:p w14:paraId="442CFEE8">
            <w:pPr>
              <w:spacing w:before="95" w:line="196" w:lineRule="auto"/>
              <w:ind w:left="1057"/>
              <w:rPr>
                <w:rFonts w:eastAsia="Times New Roman"/>
                <w:sz w:val="13"/>
                <w:szCs w:val="13"/>
              </w:rPr>
            </w:pPr>
            <w:r>
              <w:rPr>
                <w:rFonts w:eastAsia="Times New Roman"/>
                <w:spacing w:val="1"/>
                <w:szCs w:val="21"/>
              </w:rPr>
              <w:t>C</w:t>
            </w:r>
            <w:r>
              <w:rPr>
                <w:rFonts w:eastAsia="Times New Roman"/>
                <w:spacing w:val="1"/>
                <w:position w:val="-1"/>
                <w:sz w:val="13"/>
                <w:szCs w:val="13"/>
              </w:rPr>
              <w:t>2</w:t>
            </w:r>
            <w:r>
              <w:rPr>
                <w:rFonts w:eastAsia="Times New Roman"/>
                <w:spacing w:val="1"/>
                <w:szCs w:val="21"/>
              </w:rPr>
              <w:t>H</w:t>
            </w:r>
            <w:r>
              <w:rPr>
                <w:rFonts w:eastAsia="Times New Roman"/>
                <w:spacing w:val="1"/>
                <w:position w:val="-1"/>
                <w:sz w:val="13"/>
                <w:szCs w:val="13"/>
              </w:rPr>
              <w:t>4</w:t>
            </w:r>
            <w:r>
              <w:rPr>
                <w:rFonts w:eastAsia="Times New Roman"/>
                <w:spacing w:val="1"/>
                <w:szCs w:val="21"/>
              </w:rPr>
              <w:t>F</w:t>
            </w:r>
            <w:r>
              <w:rPr>
                <w:rFonts w:eastAsia="Times New Roman"/>
                <w:spacing w:val="1"/>
                <w:position w:val="-1"/>
                <w:sz w:val="13"/>
                <w:szCs w:val="13"/>
              </w:rPr>
              <w:t>2</w:t>
            </w:r>
          </w:p>
        </w:tc>
        <w:tc>
          <w:tcPr>
            <w:tcW w:w="2022" w:type="pct"/>
          </w:tcPr>
          <w:p w14:paraId="5FF154DF">
            <w:pPr>
              <w:spacing w:before="94" w:line="187" w:lineRule="auto"/>
              <w:ind w:left="1542"/>
              <w:rPr>
                <w:rFonts w:eastAsia="Times New Roman"/>
                <w:szCs w:val="21"/>
              </w:rPr>
            </w:pPr>
            <w:r>
              <w:rPr>
                <w:rFonts w:eastAsia="Times New Roman"/>
                <w:color w:val="221F1F"/>
                <w:spacing w:val="-6"/>
                <w:szCs w:val="21"/>
              </w:rPr>
              <w:t>164</w:t>
            </w:r>
          </w:p>
        </w:tc>
      </w:tr>
      <w:tr w14:paraId="7FAD2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5422A8F8">
            <w:pPr>
              <w:spacing w:before="96" w:line="187" w:lineRule="auto"/>
              <w:ind w:left="620"/>
              <w:rPr>
                <w:rFonts w:eastAsia="Times New Roman"/>
                <w:szCs w:val="21"/>
              </w:rPr>
            </w:pPr>
            <w:r>
              <w:rPr>
                <w:rFonts w:eastAsia="Times New Roman"/>
                <w:spacing w:val="-1"/>
                <w:szCs w:val="21"/>
              </w:rPr>
              <w:t>HFC-227ea</w:t>
            </w:r>
          </w:p>
        </w:tc>
        <w:tc>
          <w:tcPr>
            <w:tcW w:w="1641" w:type="pct"/>
          </w:tcPr>
          <w:p w14:paraId="71512EB5">
            <w:pPr>
              <w:spacing w:before="97" w:line="196" w:lineRule="auto"/>
              <w:ind w:left="1091"/>
              <w:rPr>
                <w:rFonts w:eastAsia="Times New Roman"/>
                <w:sz w:val="13"/>
                <w:szCs w:val="13"/>
              </w:rPr>
            </w:pPr>
            <w:r>
              <w:rPr>
                <w:rFonts w:eastAsia="Times New Roman"/>
                <w:spacing w:val="1"/>
                <w:szCs w:val="21"/>
              </w:rPr>
              <w:t>C</w:t>
            </w:r>
            <w:r>
              <w:rPr>
                <w:rFonts w:eastAsia="Times New Roman"/>
                <w:spacing w:val="1"/>
                <w:position w:val="-1"/>
                <w:sz w:val="13"/>
                <w:szCs w:val="13"/>
              </w:rPr>
              <w:t>3</w:t>
            </w:r>
            <w:r>
              <w:rPr>
                <w:rFonts w:eastAsia="Times New Roman"/>
                <w:szCs w:val="21"/>
              </w:rPr>
              <w:t>HF</w:t>
            </w:r>
            <w:r>
              <w:rPr>
                <w:rFonts w:eastAsia="Times New Roman"/>
                <w:spacing w:val="1"/>
                <w:position w:val="-1"/>
                <w:sz w:val="13"/>
                <w:szCs w:val="13"/>
              </w:rPr>
              <w:t>7</w:t>
            </w:r>
          </w:p>
        </w:tc>
        <w:tc>
          <w:tcPr>
            <w:tcW w:w="2022" w:type="pct"/>
          </w:tcPr>
          <w:p w14:paraId="6CD8F01D">
            <w:pPr>
              <w:spacing w:before="96" w:line="187" w:lineRule="auto"/>
              <w:ind w:left="1473"/>
              <w:rPr>
                <w:rFonts w:eastAsia="Times New Roman"/>
                <w:szCs w:val="21"/>
              </w:rPr>
            </w:pPr>
            <w:r>
              <w:rPr>
                <w:rFonts w:eastAsia="Times New Roman"/>
                <w:color w:val="221F1F"/>
                <w:spacing w:val="-2"/>
                <w:szCs w:val="21"/>
              </w:rPr>
              <w:t>3600</w:t>
            </w:r>
          </w:p>
        </w:tc>
      </w:tr>
      <w:tr w14:paraId="4EF63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599B4B5C">
            <w:pPr>
              <w:spacing w:before="91" w:line="190" w:lineRule="auto"/>
              <w:ind w:left="632"/>
              <w:rPr>
                <w:rFonts w:eastAsia="Times New Roman"/>
                <w:szCs w:val="21"/>
              </w:rPr>
            </w:pPr>
            <w:r>
              <w:rPr>
                <w:rFonts w:eastAsia="Times New Roman"/>
                <w:szCs w:val="21"/>
              </w:rPr>
              <w:t>HFC</w:t>
            </w:r>
            <w:r>
              <w:rPr>
                <w:rFonts w:eastAsia="Times New Roman"/>
                <w:spacing w:val="5"/>
                <w:szCs w:val="21"/>
              </w:rPr>
              <w:t>-236</w:t>
            </w:r>
            <w:r>
              <w:rPr>
                <w:rFonts w:eastAsia="Times New Roman"/>
                <w:szCs w:val="21"/>
              </w:rPr>
              <w:t>fa</w:t>
            </w:r>
          </w:p>
        </w:tc>
        <w:tc>
          <w:tcPr>
            <w:tcW w:w="1641" w:type="pct"/>
          </w:tcPr>
          <w:p w14:paraId="3E7E928B">
            <w:pPr>
              <w:spacing w:before="95" w:line="196" w:lineRule="auto"/>
              <w:ind w:left="1057"/>
              <w:rPr>
                <w:rFonts w:eastAsia="Times New Roman"/>
                <w:sz w:val="13"/>
                <w:szCs w:val="13"/>
              </w:rPr>
            </w:pPr>
            <w:r>
              <w:rPr>
                <w:rFonts w:eastAsia="Times New Roman"/>
                <w:spacing w:val="1"/>
                <w:szCs w:val="21"/>
              </w:rPr>
              <w:t>C</w:t>
            </w:r>
            <w:r>
              <w:rPr>
                <w:rFonts w:eastAsia="Times New Roman"/>
                <w:spacing w:val="1"/>
                <w:position w:val="-1"/>
                <w:sz w:val="13"/>
                <w:szCs w:val="13"/>
              </w:rPr>
              <w:t>3</w:t>
            </w:r>
            <w:r>
              <w:rPr>
                <w:rFonts w:eastAsia="Times New Roman"/>
                <w:spacing w:val="1"/>
                <w:szCs w:val="21"/>
              </w:rPr>
              <w:t>H</w:t>
            </w:r>
            <w:r>
              <w:rPr>
                <w:rFonts w:eastAsia="Times New Roman"/>
                <w:spacing w:val="1"/>
                <w:position w:val="-1"/>
                <w:sz w:val="13"/>
                <w:szCs w:val="13"/>
              </w:rPr>
              <w:t>2</w:t>
            </w:r>
            <w:r>
              <w:rPr>
                <w:rFonts w:eastAsia="Times New Roman"/>
                <w:spacing w:val="1"/>
                <w:szCs w:val="21"/>
              </w:rPr>
              <w:t>F</w:t>
            </w:r>
            <w:r>
              <w:rPr>
                <w:rFonts w:eastAsia="Times New Roman"/>
                <w:spacing w:val="1"/>
                <w:position w:val="-1"/>
                <w:sz w:val="13"/>
                <w:szCs w:val="13"/>
              </w:rPr>
              <w:t>6</w:t>
            </w:r>
          </w:p>
        </w:tc>
        <w:tc>
          <w:tcPr>
            <w:tcW w:w="2022" w:type="pct"/>
          </w:tcPr>
          <w:p w14:paraId="5AC23CC2">
            <w:pPr>
              <w:spacing w:before="94" w:line="187" w:lineRule="auto"/>
              <w:ind w:left="1477"/>
              <w:rPr>
                <w:rFonts w:eastAsia="Times New Roman"/>
                <w:szCs w:val="21"/>
              </w:rPr>
            </w:pPr>
            <w:r>
              <w:rPr>
                <w:rFonts w:eastAsia="Times New Roman"/>
                <w:color w:val="221F1F"/>
                <w:spacing w:val="-2"/>
                <w:szCs w:val="21"/>
              </w:rPr>
              <w:t>8690</w:t>
            </w:r>
          </w:p>
        </w:tc>
      </w:tr>
      <w:tr w14:paraId="2D2AC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000" w:type="pct"/>
            <w:gridSpan w:val="3"/>
          </w:tcPr>
          <w:p w14:paraId="64B97E48">
            <w:pPr>
              <w:pStyle w:val="153"/>
              <w:spacing w:before="55" w:line="214" w:lineRule="auto"/>
              <w:jc w:val="center"/>
              <w:rPr>
                <w:rFonts w:ascii="Times New Roman" w:hAnsi="Times New Roman" w:eastAsia="Times New Roman" w:cs="Times New Roman"/>
                <w:sz w:val="21"/>
                <w:szCs w:val="21"/>
              </w:rPr>
            </w:pPr>
            <w:r>
              <w:rPr>
                <w:rFonts w:ascii="Times New Roman" w:hAnsi="Times New Roman" w:cs="Times New Roman"/>
                <w:spacing w:val="-1"/>
                <w:sz w:val="21"/>
                <w:szCs w:val="21"/>
              </w:rPr>
              <w:t xml:space="preserve">全氟碳化物 </w:t>
            </w:r>
            <w:r>
              <w:rPr>
                <w:rFonts w:ascii="Times New Roman" w:hAnsi="Times New Roman" w:eastAsia="Times New Roman" w:cs="Times New Roman"/>
                <w:spacing w:val="-1"/>
                <w:sz w:val="21"/>
                <w:szCs w:val="21"/>
              </w:rPr>
              <w:t>(PFCs)</w:t>
            </w:r>
          </w:p>
        </w:tc>
      </w:tr>
      <w:tr w14:paraId="7AACB4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583B6656">
            <w:pPr>
              <w:pStyle w:val="153"/>
              <w:spacing w:before="55" w:line="214" w:lineRule="auto"/>
              <w:ind w:left="204"/>
              <w:rPr>
                <w:rFonts w:ascii="Times New Roman" w:hAnsi="Times New Roman" w:eastAsia="Times New Roman" w:cs="Times New Roman"/>
                <w:sz w:val="21"/>
                <w:szCs w:val="21"/>
              </w:rPr>
            </w:pPr>
            <w:r>
              <w:rPr>
                <w:rFonts w:ascii="Times New Roman" w:hAnsi="Times New Roman" w:cs="Times New Roman"/>
                <w:spacing w:val="-1"/>
                <w:sz w:val="21"/>
                <w:szCs w:val="21"/>
              </w:rPr>
              <w:t>全氟甲烷</w:t>
            </w:r>
            <w:r>
              <w:rPr>
                <w:rFonts w:ascii="Times New Roman" w:hAnsi="Times New Roman" w:eastAsia="Times New Roman" w:cs="Times New Roman"/>
                <w:spacing w:val="-1"/>
                <w:sz w:val="21"/>
                <w:szCs w:val="21"/>
              </w:rPr>
              <w:t>(</w:t>
            </w:r>
            <w:r>
              <w:rPr>
                <w:rFonts w:ascii="Times New Roman" w:hAnsi="Times New Roman" w:cs="Times New Roman"/>
                <w:spacing w:val="-1"/>
                <w:sz w:val="21"/>
                <w:szCs w:val="21"/>
              </w:rPr>
              <w:t>四氟甲烷</w:t>
            </w:r>
            <w:r>
              <w:rPr>
                <w:rFonts w:ascii="Times New Roman" w:hAnsi="Times New Roman" w:eastAsia="Times New Roman" w:cs="Times New Roman"/>
                <w:spacing w:val="-1"/>
                <w:sz w:val="21"/>
                <w:szCs w:val="21"/>
              </w:rPr>
              <w:t>)</w:t>
            </w:r>
          </w:p>
        </w:tc>
        <w:tc>
          <w:tcPr>
            <w:tcW w:w="1641" w:type="pct"/>
          </w:tcPr>
          <w:p w14:paraId="164044DD">
            <w:pPr>
              <w:spacing w:before="94" w:line="196" w:lineRule="auto"/>
              <w:ind w:left="1204"/>
              <w:rPr>
                <w:rFonts w:eastAsia="Times New Roman"/>
                <w:sz w:val="13"/>
                <w:szCs w:val="13"/>
              </w:rPr>
            </w:pPr>
            <w:r>
              <w:rPr>
                <w:rFonts w:eastAsia="Times New Roman"/>
                <w:spacing w:val="-1"/>
                <w:szCs w:val="21"/>
              </w:rPr>
              <w:t>CF</w:t>
            </w:r>
            <w:r>
              <w:rPr>
                <w:rFonts w:eastAsia="Times New Roman"/>
                <w:spacing w:val="-1"/>
                <w:position w:val="-1"/>
                <w:sz w:val="13"/>
                <w:szCs w:val="13"/>
              </w:rPr>
              <w:t>4</w:t>
            </w:r>
          </w:p>
        </w:tc>
        <w:tc>
          <w:tcPr>
            <w:tcW w:w="2022" w:type="pct"/>
          </w:tcPr>
          <w:p w14:paraId="03CF4A86">
            <w:pPr>
              <w:spacing w:before="94" w:line="187" w:lineRule="auto"/>
              <w:ind w:left="1472"/>
              <w:rPr>
                <w:rFonts w:eastAsia="Times New Roman"/>
                <w:szCs w:val="21"/>
              </w:rPr>
            </w:pPr>
            <w:r>
              <w:rPr>
                <w:rFonts w:eastAsia="Times New Roman"/>
                <w:color w:val="221F1F"/>
                <w:spacing w:val="-2"/>
                <w:szCs w:val="21"/>
              </w:rPr>
              <w:t>7380</w:t>
            </w:r>
          </w:p>
        </w:tc>
      </w:tr>
      <w:tr w14:paraId="56196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6488DF2B">
            <w:pPr>
              <w:pStyle w:val="153"/>
              <w:spacing w:before="54" w:line="214" w:lineRule="auto"/>
              <w:ind w:left="204"/>
              <w:rPr>
                <w:rFonts w:ascii="Times New Roman" w:hAnsi="Times New Roman" w:eastAsia="Times New Roman" w:cs="Times New Roman"/>
                <w:sz w:val="21"/>
                <w:szCs w:val="21"/>
              </w:rPr>
            </w:pPr>
            <w:r>
              <w:rPr>
                <w:rFonts w:ascii="Times New Roman" w:hAnsi="Times New Roman" w:cs="Times New Roman"/>
                <w:spacing w:val="-1"/>
                <w:sz w:val="21"/>
                <w:szCs w:val="21"/>
              </w:rPr>
              <w:t>全氟乙烷</w:t>
            </w:r>
            <w:r>
              <w:rPr>
                <w:rFonts w:ascii="Times New Roman" w:hAnsi="Times New Roman" w:eastAsia="Times New Roman" w:cs="Times New Roman"/>
                <w:spacing w:val="-1"/>
                <w:sz w:val="21"/>
                <w:szCs w:val="21"/>
              </w:rPr>
              <w:t>(</w:t>
            </w:r>
            <w:r>
              <w:rPr>
                <w:rFonts w:ascii="Times New Roman" w:hAnsi="Times New Roman" w:cs="Times New Roman"/>
                <w:spacing w:val="-1"/>
                <w:sz w:val="21"/>
                <w:szCs w:val="21"/>
              </w:rPr>
              <w:t>六氟乙烷</w:t>
            </w:r>
            <w:r>
              <w:rPr>
                <w:rFonts w:ascii="Times New Roman" w:hAnsi="Times New Roman" w:eastAsia="Times New Roman" w:cs="Times New Roman"/>
                <w:spacing w:val="-1"/>
                <w:sz w:val="21"/>
                <w:szCs w:val="21"/>
              </w:rPr>
              <w:t>)</w:t>
            </w:r>
          </w:p>
        </w:tc>
        <w:tc>
          <w:tcPr>
            <w:tcW w:w="1641" w:type="pct"/>
          </w:tcPr>
          <w:p w14:paraId="14F9CDF6">
            <w:pPr>
              <w:spacing w:before="94" w:line="196" w:lineRule="auto"/>
              <w:ind w:left="1168"/>
              <w:rPr>
                <w:rFonts w:eastAsia="Times New Roman"/>
                <w:sz w:val="13"/>
                <w:szCs w:val="13"/>
              </w:rPr>
            </w:pPr>
            <w:r>
              <w:rPr>
                <w:rFonts w:eastAsia="Times New Roman"/>
                <w:szCs w:val="21"/>
              </w:rPr>
              <w:t>C</w:t>
            </w:r>
            <w:r>
              <w:rPr>
                <w:rFonts w:eastAsia="Times New Roman"/>
                <w:position w:val="-1"/>
                <w:sz w:val="13"/>
                <w:szCs w:val="13"/>
              </w:rPr>
              <w:t>2</w:t>
            </w:r>
            <w:r>
              <w:rPr>
                <w:rFonts w:eastAsia="Times New Roman"/>
                <w:szCs w:val="21"/>
              </w:rPr>
              <w:t>F</w:t>
            </w:r>
            <w:r>
              <w:rPr>
                <w:rFonts w:eastAsia="Times New Roman"/>
                <w:position w:val="-1"/>
                <w:sz w:val="13"/>
                <w:szCs w:val="13"/>
              </w:rPr>
              <w:t>6</w:t>
            </w:r>
          </w:p>
        </w:tc>
        <w:tc>
          <w:tcPr>
            <w:tcW w:w="2022" w:type="pct"/>
          </w:tcPr>
          <w:p w14:paraId="246D7E50">
            <w:pPr>
              <w:spacing w:before="93" w:line="187" w:lineRule="auto"/>
              <w:ind w:left="1436"/>
              <w:rPr>
                <w:rFonts w:eastAsia="Times New Roman"/>
                <w:szCs w:val="21"/>
              </w:rPr>
            </w:pPr>
            <w:r>
              <w:rPr>
                <w:rFonts w:eastAsia="Times New Roman"/>
                <w:color w:val="221F1F"/>
                <w:spacing w:val="-4"/>
                <w:szCs w:val="21"/>
              </w:rPr>
              <w:t>12400</w:t>
            </w:r>
          </w:p>
        </w:tc>
      </w:tr>
      <w:tr w14:paraId="3E126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5E70B326">
            <w:pPr>
              <w:pStyle w:val="153"/>
              <w:spacing w:before="54" w:line="221" w:lineRule="auto"/>
              <w:ind w:left="694"/>
              <w:rPr>
                <w:rFonts w:ascii="Times New Roman" w:hAnsi="Times New Roman" w:cs="Times New Roman"/>
                <w:sz w:val="21"/>
                <w:szCs w:val="21"/>
              </w:rPr>
            </w:pPr>
            <w:r>
              <w:rPr>
                <w:rFonts w:ascii="Times New Roman" w:hAnsi="Times New Roman" w:cs="Times New Roman"/>
                <w:spacing w:val="-2"/>
                <w:sz w:val="21"/>
                <w:szCs w:val="21"/>
              </w:rPr>
              <w:t>全氟丙烷</w:t>
            </w:r>
          </w:p>
        </w:tc>
        <w:tc>
          <w:tcPr>
            <w:tcW w:w="1641" w:type="pct"/>
          </w:tcPr>
          <w:p w14:paraId="141C9D4F">
            <w:pPr>
              <w:spacing w:before="93" w:line="196" w:lineRule="auto"/>
              <w:ind w:left="1168"/>
              <w:rPr>
                <w:rFonts w:eastAsia="Times New Roman"/>
                <w:sz w:val="13"/>
                <w:szCs w:val="13"/>
              </w:rPr>
            </w:pPr>
            <w:r>
              <w:rPr>
                <w:rFonts w:eastAsia="Times New Roman"/>
                <w:szCs w:val="21"/>
              </w:rPr>
              <w:t>C</w:t>
            </w:r>
            <w:r>
              <w:rPr>
                <w:rFonts w:eastAsia="Times New Roman"/>
                <w:position w:val="-1"/>
                <w:sz w:val="13"/>
                <w:szCs w:val="13"/>
              </w:rPr>
              <w:t>3</w:t>
            </w:r>
            <w:r>
              <w:rPr>
                <w:rFonts w:eastAsia="Times New Roman"/>
                <w:szCs w:val="21"/>
              </w:rPr>
              <w:t>F</w:t>
            </w:r>
            <w:r>
              <w:rPr>
                <w:rFonts w:eastAsia="Times New Roman"/>
                <w:position w:val="-1"/>
                <w:sz w:val="13"/>
                <w:szCs w:val="13"/>
              </w:rPr>
              <w:t>8</w:t>
            </w:r>
          </w:p>
        </w:tc>
        <w:tc>
          <w:tcPr>
            <w:tcW w:w="2022" w:type="pct"/>
          </w:tcPr>
          <w:p w14:paraId="6F0CCAEE">
            <w:pPr>
              <w:spacing w:before="93" w:line="187" w:lineRule="auto"/>
              <w:ind w:left="1473"/>
              <w:rPr>
                <w:rFonts w:eastAsia="Times New Roman"/>
                <w:szCs w:val="21"/>
              </w:rPr>
            </w:pPr>
            <w:r>
              <w:rPr>
                <w:rFonts w:eastAsia="Times New Roman"/>
                <w:color w:val="221F1F"/>
                <w:spacing w:val="-2"/>
                <w:szCs w:val="21"/>
              </w:rPr>
              <w:t>9290</w:t>
            </w:r>
          </w:p>
        </w:tc>
      </w:tr>
      <w:tr w14:paraId="6F756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336" w:type="pct"/>
          </w:tcPr>
          <w:p w14:paraId="2E54AC20">
            <w:pPr>
              <w:pStyle w:val="153"/>
              <w:spacing w:before="57" w:line="221" w:lineRule="auto"/>
              <w:ind w:left="694"/>
              <w:rPr>
                <w:rFonts w:ascii="Times New Roman" w:hAnsi="Times New Roman" w:cs="Times New Roman"/>
                <w:sz w:val="21"/>
                <w:szCs w:val="21"/>
              </w:rPr>
            </w:pPr>
            <w:r>
              <w:rPr>
                <w:rFonts w:ascii="Times New Roman" w:hAnsi="Times New Roman" w:cs="Times New Roman"/>
                <w:spacing w:val="-2"/>
                <w:sz w:val="21"/>
                <w:szCs w:val="21"/>
              </w:rPr>
              <w:t>全氟丁烷</w:t>
            </w:r>
          </w:p>
        </w:tc>
        <w:tc>
          <w:tcPr>
            <w:tcW w:w="1641" w:type="pct"/>
          </w:tcPr>
          <w:p w14:paraId="083F4126">
            <w:pPr>
              <w:spacing w:before="96" w:line="196" w:lineRule="auto"/>
              <w:ind w:left="1132"/>
              <w:rPr>
                <w:rFonts w:eastAsia="Times New Roman"/>
                <w:sz w:val="13"/>
                <w:szCs w:val="13"/>
              </w:rPr>
            </w:pPr>
            <w:r>
              <w:rPr>
                <w:rFonts w:eastAsia="Times New Roman"/>
                <w:spacing w:val="2"/>
                <w:szCs w:val="21"/>
              </w:rPr>
              <w:t>C</w:t>
            </w:r>
            <w:r>
              <w:rPr>
                <w:rFonts w:eastAsia="Times New Roman"/>
                <w:spacing w:val="2"/>
                <w:position w:val="-1"/>
                <w:sz w:val="13"/>
                <w:szCs w:val="13"/>
              </w:rPr>
              <w:t>4</w:t>
            </w:r>
            <w:r>
              <w:rPr>
                <w:rFonts w:eastAsia="Times New Roman"/>
                <w:spacing w:val="2"/>
                <w:szCs w:val="21"/>
              </w:rPr>
              <w:t>F</w:t>
            </w:r>
            <w:r>
              <w:rPr>
                <w:rFonts w:eastAsia="Times New Roman"/>
                <w:spacing w:val="2"/>
                <w:position w:val="-1"/>
                <w:sz w:val="13"/>
                <w:szCs w:val="13"/>
              </w:rPr>
              <w:t>10</w:t>
            </w:r>
          </w:p>
        </w:tc>
        <w:tc>
          <w:tcPr>
            <w:tcW w:w="2022" w:type="pct"/>
          </w:tcPr>
          <w:p w14:paraId="5FBCC5A3">
            <w:pPr>
              <w:spacing w:before="96" w:line="187" w:lineRule="auto"/>
              <w:ind w:left="1436"/>
              <w:rPr>
                <w:rFonts w:eastAsia="Times New Roman"/>
                <w:szCs w:val="21"/>
              </w:rPr>
            </w:pPr>
            <w:r>
              <w:rPr>
                <w:rFonts w:eastAsia="Times New Roman"/>
                <w:color w:val="221F1F"/>
                <w:spacing w:val="-4"/>
                <w:szCs w:val="21"/>
              </w:rPr>
              <w:t>10000</w:t>
            </w:r>
          </w:p>
        </w:tc>
      </w:tr>
      <w:tr w14:paraId="6F93D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336" w:type="pct"/>
          </w:tcPr>
          <w:p w14:paraId="1EA86722">
            <w:pPr>
              <w:pStyle w:val="153"/>
              <w:spacing w:before="54" w:line="221" w:lineRule="auto"/>
              <w:ind w:left="588"/>
              <w:rPr>
                <w:rFonts w:ascii="Times New Roman" w:hAnsi="Times New Roman" w:cs="Times New Roman"/>
                <w:sz w:val="21"/>
                <w:szCs w:val="21"/>
              </w:rPr>
            </w:pPr>
            <w:r>
              <w:rPr>
                <w:rFonts w:ascii="Times New Roman" w:hAnsi="Times New Roman" w:cs="Times New Roman"/>
                <w:spacing w:val="-1"/>
                <w:sz w:val="21"/>
                <w:szCs w:val="21"/>
              </w:rPr>
              <w:t>全氟环丁烷</w:t>
            </w:r>
          </w:p>
        </w:tc>
        <w:tc>
          <w:tcPr>
            <w:tcW w:w="1641" w:type="pct"/>
          </w:tcPr>
          <w:p w14:paraId="4FB37673">
            <w:pPr>
              <w:spacing w:before="94" w:line="196" w:lineRule="auto"/>
              <w:ind w:left="1168"/>
              <w:rPr>
                <w:rFonts w:eastAsia="Times New Roman"/>
                <w:sz w:val="13"/>
                <w:szCs w:val="13"/>
              </w:rPr>
            </w:pPr>
            <w:r>
              <w:rPr>
                <w:rFonts w:eastAsia="Times New Roman"/>
                <w:szCs w:val="21"/>
              </w:rPr>
              <w:t>C</w:t>
            </w:r>
            <w:r>
              <w:rPr>
                <w:rFonts w:eastAsia="Times New Roman"/>
                <w:position w:val="-1"/>
                <w:sz w:val="13"/>
                <w:szCs w:val="13"/>
              </w:rPr>
              <w:t>4</w:t>
            </w:r>
            <w:r>
              <w:rPr>
                <w:rFonts w:eastAsia="Times New Roman"/>
                <w:szCs w:val="21"/>
              </w:rPr>
              <w:t>F</w:t>
            </w:r>
            <w:r>
              <w:rPr>
                <w:rFonts w:eastAsia="Times New Roman"/>
                <w:position w:val="-1"/>
                <w:sz w:val="13"/>
                <w:szCs w:val="13"/>
              </w:rPr>
              <w:t>8</w:t>
            </w:r>
          </w:p>
        </w:tc>
        <w:tc>
          <w:tcPr>
            <w:tcW w:w="2022" w:type="pct"/>
          </w:tcPr>
          <w:p w14:paraId="32F2C5A1">
            <w:pPr>
              <w:spacing w:before="93" w:line="187" w:lineRule="auto"/>
              <w:ind w:left="1436"/>
              <w:rPr>
                <w:rFonts w:eastAsia="Times New Roman"/>
                <w:szCs w:val="21"/>
              </w:rPr>
            </w:pPr>
            <w:r>
              <w:rPr>
                <w:rFonts w:eastAsia="Times New Roman"/>
                <w:color w:val="221F1F"/>
                <w:spacing w:val="-4"/>
                <w:szCs w:val="21"/>
              </w:rPr>
              <w:t>10200</w:t>
            </w:r>
          </w:p>
        </w:tc>
      </w:tr>
      <w:tr w14:paraId="08F58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496179A2">
            <w:pPr>
              <w:pStyle w:val="153"/>
              <w:spacing w:before="54" w:line="221" w:lineRule="auto"/>
              <w:ind w:left="694"/>
              <w:rPr>
                <w:rFonts w:ascii="Times New Roman" w:hAnsi="Times New Roman" w:cs="Times New Roman"/>
                <w:sz w:val="21"/>
                <w:szCs w:val="21"/>
              </w:rPr>
            </w:pPr>
            <w:r>
              <w:rPr>
                <w:rFonts w:ascii="Times New Roman" w:hAnsi="Times New Roman" w:cs="Times New Roman"/>
                <w:spacing w:val="-2"/>
                <w:sz w:val="21"/>
                <w:szCs w:val="21"/>
              </w:rPr>
              <w:t>全氟戊烷</w:t>
            </w:r>
          </w:p>
        </w:tc>
        <w:tc>
          <w:tcPr>
            <w:tcW w:w="1641" w:type="pct"/>
          </w:tcPr>
          <w:p w14:paraId="7EFDD33B">
            <w:pPr>
              <w:spacing w:before="93" w:line="196" w:lineRule="auto"/>
              <w:ind w:left="1132"/>
              <w:rPr>
                <w:rFonts w:eastAsia="Times New Roman"/>
                <w:sz w:val="13"/>
                <w:szCs w:val="13"/>
              </w:rPr>
            </w:pPr>
            <w:r>
              <w:rPr>
                <w:rFonts w:eastAsia="Times New Roman"/>
                <w:spacing w:val="2"/>
                <w:szCs w:val="21"/>
              </w:rPr>
              <w:t>C</w:t>
            </w:r>
            <w:r>
              <w:rPr>
                <w:rFonts w:eastAsia="Times New Roman"/>
                <w:spacing w:val="2"/>
                <w:position w:val="-1"/>
                <w:sz w:val="13"/>
                <w:szCs w:val="13"/>
              </w:rPr>
              <w:t>5</w:t>
            </w:r>
            <w:r>
              <w:rPr>
                <w:rFonts w:eastAsia="Times New Roman"/>
                <w:spacing w:val="2"/>
                <w:szCs w:val="21"/>
              </w:rPr>
              <w:t>F</w:t>
            </w:r>
            <w:r>
              <w:rPr>
                <w:rFonts w:eastAsia="Times New Roman"/>
                <w:spacing w:val="2"/>
                <w:position w:val="-1"/>
                <w:sz w:val="13"/>
                <w:szCs w:val="13"/>
              </w:rPr>
              <w:t>12</w:t>
            </w:r>
          </w:p>
        </w:tc>
        <w:tc>
          <w:tcPr>
            <w:tcW w:w="2022" w:type="pct"/>
          </w:tcPr>
          <w:p w14:paraId="3F6F1F32">
            <w:pPr>
              <w:spacing w:before="93" w:line="187" w:lineRule="auto"/>
              <w:ind w:left="1473"/>
              <w:rPr>
                <w:rFonts w:eastAsia="Times New Roman"/>
                <w:szCs w:val="21"/>
              </w:rPr>
            </w:pPr>
            <w:r>
              <w:rPr>
                <w:rFonts w:eastAsia="Times New Roman"/>
                <w:color w:val="221F1F"/>
                <w:spacing w:val="-2"/>
                <w:szCs w:val="21"/>
              </w:rPr>
              <w:t>9220</w:t>
            </w:r>
          </w:p>
        </w:tc>
      </w:tr>
      <w:tr w14:paraId="0AB0F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336" w:type="pct"/>
          </w:tcPr>
          <w:p w14:paraId="6FF171C8">
            <w:pPr>
              <w:pStyle w:val="153"/>
              <w:spacing w:before="55" w:line="220" w:lineRule="auto"/>
              <w:ind w:left="694"/>
              <w:rPr>
                <w:rFonts w:ascii="Times New Roman" w:hAnsi="Times New Roman" w:cs="Times New Roman"/>
                <w:sz w:val="21"/>
                <w:szCs w:val="21"/>
              </w:rPr>
            </w:pPr>
            <w:r>
              <w:rPr>
                <w:rFonts w:ascii="Times New Roman" w:hAnsi="Times New Roman" w:cs="Times New Roman"/>
                <w:spacing w:val="-2"/>
                <w:sz w:val="21"/>
                <w:szCs w:val="21"/>
              </w:rPr>
              <w:t>全氟己烷</w:t>
            </w:r>
          </w:p>
        </w:tc>
        <w:tc>
          <w:tcPr>
            <w:tcW w:w="1641" w:type="pct"/>
          </w:tcPr>
          <w:p w14:paraId="5AF00AE0">
            <w:pPr>
              <w:spacing w:before="94" w:line="196" w:lineRule="auto"/>
              <w:ind w:left="1132"/>
              <w:rPr>
                <w:rFonts w:eastAsia="Times New Roman"/>
                <w:sz w:val="13"/>
                <w:szCs w:val="13"/>
              </w:rPr>
            </w:pPr>
            <w:r>
              <w:rPr>
                <w:rFonts w:eastAsia="Times New Roman"/>
                <w:spacing w:val="2"/>
                <w:szCs w:val="21"/>
              </w:rPr>
              <w:t>C</w:t>
            </w:r>
            <w:r>
              <w:rPr>
                <w:rFonts w:eastAsia="Times New Roman"/>
                <w:spacing w:val="2"/>
                <w:position w:val="-1"/>
                <w:sz w:val="13"/>
                <w:szCs w:val="13"/>
              </w:rPr>
              <w:t>6</w:t>
            </w:r>
            <w:r>
              <w:rPr>
                <w:rFonts w:eastAsia="Times New Roman"/>
                <w:spacing w:val="2"/>
                <w:szCs w:val="21"/>
              </w:rPr>
              <w:t>F</w:t>
            </w:r>
            <w:r>
              <w:rPr>
                <w:rFonts w:eastAsia="Times New Roman"/>
                <w:spacing w:val="2"/>
                <w:position w:val="-1"/>
                <w:sz w:val="13"/>
                <w:szCs w:val="13"/>
              </w:rPr>
              <w:t>14</w:t>
            </w:r>
          </w:p>
        </w:tc>
        <w:tc>
          <w:tcPr>
            <w:tcW w:w="2022" w:type="pct"/>
          </w:tcPr>
          <w:p w14:paraId="03084BB8">
            <w:pPr>
              <w:spacing w:before="94" w:line="187" w:lineRule="auto"/>
              <w:ind w:left="1477"/>
              <w:rPr>
                <w:rFonts w:eastAsia="Times New Roman"/>
                <w:szCs w:val="21"/>
              </w:rPr>
            </w:pPr>
            <w:r>
              <w:rPr>
                <w:rFonts w:eastAsia="Times New Roman"/>
                <w:color w:val="221F1F"/>
                <w:spacing w:val="-2"/>
                <w:szCs w:val="21"/>
              </w:rPr>
              <w:t>8620</w:t>
            </w:r>
          </w:p>
        </w:tc>
      </w:tr>
      <w:tr w14:paraId="582F8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000" w:type="pct"/>
            <w:gridSpan w:val="3"/>
          </w:tcPr>
          <w:p w14:paraId="007A8F6B">
            <w:pPr>
              <w:pStyle w:val="153"/>
              <w:spacing w:before="71" w:line="283" w:lineRule="auto"/>
              <w:ind w:left="113" w:right="207" w:firstLine="3"/>
              <w:rPr>
                <w:rFonts w:ascii="Times New Roman" w:hAnsi="Times New Roman" w:eastAsia="Times New Roman" w:cs="Times New Roman"/>
                <w:sz w:val="12"/>
                <w:szCs w:val="12"/>
                <w:lang w:eastAsia="zh-CN"/>
              </w:rPr>
            </w:pPr>
            <w:r>
              <w:rPr>
                <w:rFonts w:ascii="Times New Roman" w:hAnsi="Times New Roman" w:eastAsia="黑体" w:cs="Times New Roman"/>
                <w:lang w:eastAsia="zh-CN"/>
              </w:rPr>
              <w:t>注：</w:t>
            </w:r>
            <w:r>
              <w:rPr>
                <w:rFonts w:ascii="Times New Roman" w:hAnsi="Times New Roman" w:cs="Times New Roman"/>
                <w:lang w:eastAsia="zh-CN"/>
              </w:rPr>
              <w:t>部分</w:t>
            </w:r>
            <w:r>
              <w:rPr>
                <w:rFonts w:ascii="Times New Roman" w:hAnsi="Times New Roman" w:eastAsia="Times New Roman" w:cs="Times New Roman"/>
                <w:lang w:eastAsia="zh-CN"/>
              </w:rPr>
              <w:t>GHG</w:t>
            </w:r>
            <w:r>
              <w:rPr>
                <w:rFonts w:ascii="Times New Roman" w:hAnsi="Times New Roman" w:cs="Times New Roman"/>
                <w:lang w:eastAsia="zh-CN"/>
              </w:rPr>
              <w:t>的</w:t>
            </w:r>
            <w:r>
              <w:rPr>
                <w:rFonts w:ascii="Times New Roman" w:hAnsi="Times New Roman" w:eastAsia="Times New Roman" w:cs="Times New Roman"/>
                <w:lang w:eastAsia="zh-CN"/>
              </w:rPr>
              <w:t>GWP</w:t>
            </w:r>
            <w:r>
              <w:rPr>
                <w:rFonts w:ascii="Times New Roman" w:hAnsi="Times New Roman" w:cs="Times New Roman"/>
                <w:lang w:eastAsia="zh-CN"/>
              </w:rPr>
              <w:t>来源于</w:t>
            </w:r>
            <w:r>
              <w:rPr>
                <w:rFonts w:ascii="Times New Roman" w:hAnsi="Times New Roman" w:eastAsia="Times New Roman" w:cs="Times New Roman"/>
                <w:lang w:eastAsia="zh-CN"/>
              </w:rPr>
              <w:t>IPCC</w:t>
            </w:r>
            <w:r>
              <w:rPr>
                <w:rFonts w:ascii="Times New Roman" w:hAnsi="Times New Roman" w:cs="Times New Roman"/>
                <w:lang w:eastAsia="zh-CN"/>
              </w:rPr>
              <w:t>《气候变化报告</w:t>
            </w:r>
            <w:r>
              <w:rPr>
                <w:rFonts w:ascii="Times New Roman" w:hAnsi="Times New Roman" w:eastAsia="Times New Roman" w:cs="Times New Roman"/>
                <w:lang w:eastAsia="zh-CN"/>
              </w:rPr>
              <w:t>2021</w:t>
            </w:r>
            <w:r>
              <w:rPr>
                <w:rFonts w:ascii="Times New Roman" w:hAnsi="Times New Roman" w:cs="Times New Roman"/>
                <w:lang w:eastAsia="zh-CN"/>
              </w:rPr>
              <w:t>：自然科学基础第一工作组对</w:t>
            </w:r>
            <w:r>
              <w:rPr>
                <w:rFonts w:ascii="Times New Roman" w:hAnsi="Times New Roman" w:eastAsia="Times New Roman" w:cs="Times New Roman"/>
                <w:spacing w:val="-1"/>
                <w:lang w:eastAsia="zh-CN"/>
              </w:rPr>
              <w:t>IPCC</w:t>
            </w:r>
            <w:r>
              <w:rPr>
                <w:rFonts w:ascii="Times New Roman" w:hAnsi="Times New Roman" w:cs="Times New Roman"/>
                <w:spacing w:val="-1"/>
                <w:lang w:eastAsia="zh-CN"/>
              </w:rPr>
              <w:t>第六次评估</w:t>
            </w:r>
            <w:bookmarkStart w:id="48" w:name="bookmark31"/>
            <w:bookmarkEnd w:id="48"/>
            <w:r>
              <w:rPr>
                <w:rFonts w:ascii="Times New Roman" w:hAnsi="Times New Roman" w:cs="Times New Roman"/>
                <w:spacing w:val="-1"/>
                <w:position w:val="-1"/>
                <w:lang w:eastAsia="zh-CN"/>
              </w:rPr>
              <w:t>报告的贡献》</w:t>
            </w:r>
          </w:p>
        </w:tc>
      </w:tr>
    </w:tbl>
    <w:p w14:paraId="373A64AD">
      <w:pPr>
        <w:spacing w:line="276" w:lineRule="auto"/>
        <w:rPr>
          <w:szCs w:val="21"/>
        </w:rPr>
      </w:pPr>
    </w:p>
    <w:p w14:paraId="3447C0AF">
      <w:pPr>
        <w:pStyle w:val="26"/>
        <w:spacing w:line="276" w:lineRule="auto"/>
        <w:rPr>
          <w:rFonts w:ascii="Times New Roman"/>
        </w:rPr>
      </w:pPr>
      <w:r>
        <w:rPr>
          <w:rFonts w:ascii="Times New Roman"/>
        </w:rPr>
        <w:br w:type="page"/>
      </w:r>
    </w:p>
    <w:p w14:paraId="151C7723">
      <w:pPr>
        <w:pStyle w:val="26"/>
        <w:spacing w:line="276" w:lineRule="auto"/>
        <w:rPr>
          <w:rFonts w:ascii="Times New Roman"/>
        </w:rPr>
        <w:sectPr>
          <w:pgSz w:w="11906" w:h="16838"/>
          <w:pgMar w:top="1021" w:right="1134" w:bottom="1021" w:left="1021" w:header="1134" w:footer="1134" w:gutter="0"/>
          <w:cols w:space="425" w:num="1"/>
          <w:formProt w:val="0"/>
          <w:titlePg/>
          <w:docGrid w:type="linesAndChars" w:linePitch="312" w:charSpace="0"/>
        </w:sectPr>
      </w:pPr>
    </w:p>
    <w:p w14:paraId="706E4B58">
      <w:pPr>
        <w:pStyle w:val="26"/>
        <w:spacing w:line="276" w:lineRule="auto"/>
        <w:ind w:firstLine="0" w:firstLineChars="0"/>
        <w:jc w:val="center"/>
        <w:rPr>
          <w:rFonts w:ascii="Times New Roman"/>
          <w:kern w:val="2"/>
          <w:sz w:val="28"/>
          <w:szCs w:val="32"/>
        </w:rPr>
      </w:pPr>
    </w:p>
    <w:p w14:paraId="7B276147">
      <w:pPr>
        <w:pStyle w:val="26"/>
        <w:spacing w:line="276" w:lineRule="auto"/>
        <w:ind w:firstLine="0" w:firstLineChars="0"/>
        <w:jc w:val="center"/>
        <w:outlineLvl w:val="0"/>
        <w:rPr>
          <w:rFonts w:ascii="Times New Roman"/>
          <w:kern w:val="2"/>
          <w:sz w:val="28"/>
          <w:szCs w:val="32"/>
        </w:rPr>
      </w:pPr>
      <w:bookmarkStart w:id="49" w:name="_Toc14508"/>
      <w:r>
        <w:rPr>
          <w:rFonts w:ascii="Times New Roman"/>
          <w:kern w:val="2"/>
          <w:sz w:val="28"/>
          <w:szCs w:val="32"/>
        </w:rPr>
        <w:t>附录E</w:t>
      </w:r>
      <w:r>
        <w:rPr>
          <w:rFonts w:ascii="Times New Roman"/>
          <w:kern w:val="2"/>
          <w:sz w:val="28"/>
          <w:szCs w:val="32"/>
        </w:rPr>
        <w:br w:type="textWrapping"/>
      </w:r>
      <w:r>
        <w:rPr>
          <w:rFonts w:ascii="Times New Roman"/>
          <w:kern w:val="2"/>
          <w:sz w:val="28"/>
          <w:szCs w:val="32"/>
        </w:rPr>
        <w:t>（资料性）</w:t>
      </w:r>
      <w:r>
        <w:rPr>
          <w:rFonts w:ascii="Times New Roman"/>
          <w:kern w:val="2"/>
          <w:sz w:val="28"/>
          <w:szCs w:val="32"/>
        </w:rPr>
        <w:br w:type="textWrapping"/>
      </w:r>
      <w:r>
        <w:rPr>
          <w:rFonts w:ascii="Times New Roman"/>
          <w:kern w:val="2"/>
          <w:sz w:val="28"/>
          <w:szCs w:val="32"/>
        </w:rPr>
        <w:t>产品碳足迹报告（模板）</w:t>
      </w:r>
      <w:bookmarkEnd w:id="49"/>
    </w:p>
    <w:p w14:paraId="02B8F2DE">
      <w:pPr>
        <w:spacing w:before="120" w:beforeLines="50" w:line="276" w:lineRule="auto"/>
        <w:ind w:firstLine="480" w:firstLineChars="200"/>
        <w:rPr>
          <w:sz w:val="24"/>
        </w:rPr>
      </w:pPr>
      <w:r>
        <w:rPr>
          <w:sz w:val="24"/>
        </w:rPr>
        <w:t>产品碳足迹报告格式模板如下。</w:t>
      </w:r>
    </w:p>
    <w:p w14:paraId="1DA098C8">
      <w:pPr>
        <w:pStyle w:val="10"/>
        <w:spacing w:line="248" w:lineRule="auto"/>
        <w:rPr>
          <w:rFonts w:cs="Times New Roman"/>
          <w:lang w:eastAsia="zh-CN"/>
        </w:rPr>
      </w:pPr>
    </w:p>
    <w:p w14:paraId="298DD936">
      <w:pPr>
        <w:pStyle w:val="10"/>
        <w:spacing w:line="248" w:lineRule="auto"/>
        <w:rPr>
          <w:rFonts w:cs="Times New Roman"/>
          <w:lang w:eastAsia="zh-CN"/>
        </w:rPr>
      </w:pPr>
    </w:p>
    <w:p w14:paraId="0DD625A8">
      <w:pPr>
        <w:pStyle w:val="10"/>
        <w:spacing w:line="248" w:lineRule="auto"/>
        <w:rPr>
          <w:rFonts w:cs="Times New Roman"/>
          <w:lang w:eastAsia="zh-CN"/>
        </w:rPr>
      </w:pPr>
    </w:p>
    <w:p w14:paraId="12CE18E8">
      <w:pPr>
        <w:pStyle w:val="10"/>
        <w:spacing w:line="249" w:lineRule="auto"/>
        <w:rPr>
          <w:rFonts w:cs="Times New Roman"/>
          <w:lang w:eastAsia="zh-CN"/>
        </w:rPr>
      </w:pPr>
    </w:p>
    <w:p w14:paraId="5EDD7F15">
      <w:pPr>
        <w:pStyle w:val="10"/>
        <w:spacing w:line="249" w:lineRule="auto"/>
        <w:rPr>
          <w:rFonts w:cs="Times New Roman"/>
          <w:lang w:eastAsia="zh-CN"/>
        </w:rPr>
      </w:pPr>
    </w:p>
    <w:p w14:paraId="6B32BAF0">
      <w:pPr>
        <w:spacing w:before="140" w:line="224" w:lineRule="auto"/>
        <w:jc w:val="center"/>
        <w:rPr>
          <w:spacing w:val="7"/>
          <w:sz w:val="43"/>
          <w:szCs w:val="43"/>
        </w:rPr>
      </w:pPr>
      <w:bookmarkStart w:id="50" w:name="bookmark30"/>
      <w:bookmarkEnd w:id="50"/>
      <w:r>
        <w:rPr>
          <w:spacing w:val="7"/>
          <w:sz w:val="43"/>
          <w:szCs w:val="43"/>
        </w:rPr>
        <w:t>产品碳足迹报告（模板）</w:t>
      </w:r>
    </w:p>
    <w:p w14:paraId="26D5004B">
      <w:pPr>
        <w:spacing w:before="140" w:line="222" w:lineRule="auto"/>
        <w:jc w:val="center"/>
        <w:rPr>
          <w:spacing w:val="7"/>
          <w:sz w:val="43"/>
          <w:szCs w:val="43"/>
        </w:rPr>
      </w:pPr>
      <w:r>
        <w:rPr>
          <w:rFonts w:hint="eastAsia"/>
          <w:spacing w:val="7"/>
          <w:sz w:val="28"/>
          <w:szCs w:val="28"/>
        </w:rPr>
        <w:t>（报告编号：</w:t>
      </w:r>
      <w:r>
        <w:rPr>
          <w:rFonts w:hint="eastAsia"/>
          <w:spacing w:val="7"/>
          <w:sz w:val="28"/>
          <w:szCs w:val="28"/>
          <w:u w:val="single"/>
        </w:rPr>
        <w:t xml:space="preserve">                    </w:t>
      </w:r>
      <w:r>
        <w:rPr>
          <w:rFonts w:hint="eastAsia"/>
          <w:spacing w:val="7"/>
          <w:sz w:val="28"/>
          <w:szCs w:val="28"/>
        </w:rPr>
        <w:t>）</w:t>
      </w:r>
    </w:p>
    <w:p w14:paraId="73CB7DE7">
      <w:pPr>
        <w:pStyle w:val="10"/>
        <w:spacing w:line="278" w:lineRule="auto"/>
        <w:rPr>
          <w:rFonts w:cs="Times New Roman"/>
        </w:rPr>
      </w:pPr>
    </w:p>
    <w:p w14:paraId="13AEFD6E">
      <w:pPr>
        <w:pStyle w:val="10"/>
        <w:spacing w:line="279" w:lineRule="auto"/>
        <w:rPr>
          <w:rFonts w:cs="Times New Roman"/>
        </w:rPr>
      </w:pPr>
    </w:p>
    <w:p w14:paraId="3B4456BD">
      <w:pPr>
        <w:pStyle w:val="10"/>
        <w:spacing w:line="279" w:lineRule="auto"/>
        <w:rPr>
          <w:rFonts w:cs="Times New Roman"/>
        </w:rPr>
      </w:pPr>
    </w:p>
    <w:p w14:paraId="5D2557F7">
      <w:pPr>
        <w:pStyle w:val="10"/>
        <w:spacing w:line="279" w:lineRule="auto"/>
        <w:rPr>
          <w:rFonts w:cs="Times New Roman"/>
        </w:rPr>
      </w:pPr>
    </w:p>
    <w:p w14:paraId="1688578E">
      <w:pPr>
        <w:pStyle w:val="10"/>
        <w:spacing w:line="279" w:lineRule="auto"/>
        <w:rPr>
          <w:rFonts w:cs="Times New Roman"/>
        </w:rPr>
      </w:pPr>
    </w:p>
    <w:p w14:paraId="103CB41F">
      <w:pPr>
        <w:pStyle w:val="10"/>
        <w:spacing w:line="279" w:lineRule="auto"/>
        <w:rPr>
          <w:rFonts w:cs="Times New Roman"/>
        </w:rPr>
      </w:pPr>
    </w:p>
    <w:tbl>
      <w:tblPr>
        <w:tblStyle w:val="3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5"/>
        <w:gridCol w:w="554"/>
        <w:gridCol w:w="5070"/>
      </w:tblGrid>
      <w:tr w14:paraId="46F7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42FBEC12">
            <w:pPr>
              <w:pStyle w:val="10"/>
              <w:spacing w:line="279" w:lineRule="auto"/>
              <w:jc w:val="distribute"/>
              <w:rPr>
                <w:rFonts w:ascii="宋体" w:cs="Times New Roman"/>
              </w:rPr>
            </w:pPr>
            <w:r>
              <w:rPr>
                <w:rFonts w:ascii="宋体" w:eastAsia="宋体" w:cs="Times New Roman"/>
              </w:rPr>
              <w:t>产品名称</w:t>
            </w:r>
          </w:p>
        </w:tc>
        <w:tc>
          <w:tcPr>
            <w:tcW w:w="554" w:type="dxa"/>
            <w:vAlign w:val="center"/>
          </w:tcPr>
          <w:p w14:paraId="21F78D40">
            <w:pPr>
              <w:pStyle w:val="10"/>
              <w:spacing w:line="279" w:lineRule="auto"/>
              <w:jc w:val="both"/>
              <w:rPr>
                <w:rFonts w:ascii="宋体" w:eastAsia="宋体" w:cs="Times New Roman"/>
                <w:lang w:eastAsia="zh-CN"/>
              </w:rPr>
            </w:pPr>
            <w:r>
              <w:rPr>
                <w:rFonts w:ascii="宋体" w:eastAsia="宋体" w:cs="Times New Roman"/>
                <w:lang w:eastAsia="zh-CN"/>
              </w:rPr>
              <w:t>：</w:t>
            </w:r>
          </w:p>
        </w:tc>
        <w:tc>
          <w:tcPr>
            <w:tcW w:w="5070" w:type="dxa"/>
            <w:tcBorders>
              <w:bottom w:val="single" w:color="auto" w:sz="4" w:space="0"/>
            </w:tcBorders>
            <w:vAlign w:val="center"/>
          </w:tcPr>
          <w:p w14:paraId="49F230FA">
            <w:pPr>
              <w:pStyle w:val="10"/>
              <w:spacing w:line="279" w:lineRule="auto"/>
              <w:jc w:val="both"/>
              <w:rPr>
                <w:rFonts w:ascii="宋体" w:cs="Times New Roman"/>
              </w:rPr>
            </w:pPr>
          </w:p>
        </w:tc>
      </w:tr>
      <w:tr w14:paraId="13695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66786898">
            <w:pPr>
              <w:pStyle w:val="10"/>
              <w:spacing w:line="279" w:lineRule="auto"/>
              <w:jc w:val="distribute"/>
              <w:rPr>
                <w:rFonts w:ascii="宋体" w:cs="Times New Roman"/>
              </w:rPr>
            </w:pPr>
            <w:r>
              <w:rPr>
                <w:rFonts w:ascii="宋体" w:eastAsia="宋体" w:cs="Times New Roman"/>
              </w:rPr>
              <w:t>产品规格型号</w:t>
            </w:r>
          </w:p>
        </w:tc>
        <w:tc>
          <w:tcPr>
            <w:tcW w:w="554" w:type="dxa"/>
            <w:vAlign w:val="center"/>
          </w:tcPr>
          <w:p w14:paraId="072D3D7F">
            <w:pPr>
              <w:spacing w:line="279" w:lineRule="auto"/>
              <w:rPr>
                <w:rFonts w:ascii="宋体"/>
                <w:kern w:val="0"/>
                <w:sz w:val="28"/>
                <w:szCs w:val="28"/>
              </w:rPr>
            </w:pPr>
            <w:r>
              <w:rPr>
                <w:rFonts w:ascii="宋体"/>
                <w:kern w:val="0"/>
                <w:sz w:val="28"/>
                <w:szCs w:val="28"/>
              </w:rPr>
              <w:t>：</w:t>
            </w:r>
          </w:p>
        </w:tc>
        <w:tc>
          <w:tcPr>
            <w:tcW w:w="5070" w:type="dxa"/>
            <w:tcBorders>
              <w:top w:val="single" w:color="auto" w:sz="4" w:space="0"/>
              <w:bottom w:val="single" w:color="auto" w:sz="4" w:space="0"/>
            </w:tcBorders>
            <w:vAlign w:val="center"/>
          </w:tcPr>
          <w:p w14:paraId="27D1519B">
            <w:pPr>
              <w:pStyle w:val="10"/>
              <w:spacing w:line="279" w:lineRule="auto"/>
              <w:jc w:val="both"/>
              <w:rPr>
                <w:rFonts w:ascii="宋体" w:cs="Times New Roman"/>
              </w:rPr>
            </w:pPr>
          </w:p>
        </w:tc>
      </w:tr>
      <w:tr w14:paraId="2FE5A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7971A346">
            <w:pPr>
              <w:pStyle w:val="10"/>
              <w:spacing w:line="279" w:lineRule="auto"/>
              <w:jc w:val="distribute"/>
              <w:rPr>
                <w:rFonts w:ascii="宋体" w:cs="Times New Roman"/>
              </w:rPr>
            </w:pPr>
            <w:r>
              <w:rPr>
                <w:rFonts w:ascii="宋体" w:eastAsia="宋体" w:cs="Times New Roman"/>
              </w:rPr>
              <w:t>生产者名称</w:t>
            </w:r>
          </w:p>
        </w:tc>
        <w:tc>
          <w:tcPr>
            <w:tcW w:w="554" w:type="dxa"/>
            <w:vAlign w:val="center"/>
          </w:tcPr>
          <w:p w14:paraId="515EECD2">
            <w:pPr>
              <w:spacing w:line="279" w:lineRule="auto"/>
              <w:rPr>
                <w:rFonts w:ascii="宋体"/>
                <w:kern w:val="0"/>
                <w:sz w:val="28"/>
                <w:szCs w:val="28"/>
              </w:rPr>
            </w:pPr>
            <w:r>
              <w:rPr>
                <w:rFonts w:ascii="宋体"/>
                <w:kern w:val="0"/>
                <w:sz w:val="28"/>
                <w:szCs w:val="28"/>
              </w:rPr>
              <w:t>：</w:t>
            </w:r>
          </w:p>
        </w:tc>
        <w:tc>
          <w:tcPr>
            <w:tcW w:w="5070" w:type="dxa"/>
            <w:tcBorders>
              <w:top w:val="single" w:color="auto" w:sz="4" w:space="0"/>
              <w:bottom w:val="single" w:color="auto" w:sz="4" w:space="0"/>
            </w:tcBorders>
            <w:vAlign w:val="center"/>
          </w:tcPr>
          <w:p w14:paraId="6E56C84A">
            <w:pPr>
              <w:pStyle w:val="10"/>
              <w:spacing w:line="279" w:lineRule="auto"/>
              <w:jc w:val="both"/>
              <w:rPr>
                <w:rFonts w:ascii="宋体" w:cs="Times New Roman"/>
              </w:rPr>
            </w:pPr>
          </w:p>
        </w:tc>
      </w:tr>
      <w:tr w14:paraId="0BA89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6B1174F1">
            <w:pPr>
              <w:pStyle w:val="10"/>
              <w:spacing w:line="279" w:lineRule="auto"/>
              <w:jc w:val="distribute"/>
              <w:rPr>
                <w:rFonts w:ascii="宋体" w:eastAsia="宋体" w:cs="Times New Roman"/>
                <w:lang w:eastAsia="zh-CN"/>
              </w:rPr>
            </w:pPr>
            <w:r>
              <w:rPr>
                <w:rFonts w:hint="eastAsia" w:ascii="宋体" w:eastAsia="宋体" w:cs="Times New Roman"/>
                <w:lang w:eastAsia="zh-CN"/>
              </w:rPr>
              <w:t>编制人员</w:t>
            </w:r>
          </w:p>
        </w:tc>
        <w:tc>
          <w:tcPr>
            <w:tcW w:w="554" w:type="dxa"/>
            <w:vAlign w:val="center"/>
          </w:tcPr>
          <w:p w14:paraId="1B8F188C">
            <w:pPr>
              <w:spacing w:line="279" w:lineRule="auto"/>
              <w:rPr>
                <w:rFonts w:ascii="宋体"/>
                <w:kern w:val="0"/>
                <w:sz w:val="28"/>
                <w:szCs w:val="28"/>
              </w:rPr>
            </w:pPr>
            <w:r>
              <w:rPr>
                <w:rFonts w:ascii="宋体"/>
                <w:kern w:val="0"/>
                <w:sz w:val="28"/>
                <w:szCs w:val="28"/>
              </w:rPr>
              <w:t>：</w:t>
            </w:r>
          </w:p>
        </w:tc>
        <w:tc>
          <w:tcPr>
            <w:tcW w:w="5070" w:type="dxa"/>
            <w:tcBorders>
              <w:top w:val="single" w:color="auto" w:sz="4" w:space="0"/>
              <w:bottom w:val="single" w:color="auto" w:sz="4" w:space="0"/>
            </w:tcBorders>
            <w:vAlign w:val="center"/>
          </w:tcPr>
          <w:p w14:paraId="4794D516">
            <w:pPr>
              <w:pStyle w:val="10"/>
              <w:spacing w:line="279" w:lineRule="auto"/>
              <w:jc w:val="both"/>
              <w:rPr>
                <w:rFonts w:ascii="宋体" w:cs="Times New Roman"/>
              </w:rPr>
            </w:pPr>
          </w:p>
        </w:tc>
      </w:tr>
    </w:tbl>
    <w:p w14:paraId="27275189">
      <w:pPr>
        <w:pStyle w:val="10"/>
        <w:spacing w:line="279" w:lineRule="auto"/>
        <w:rPr>
          <w:rFonts w:cs="Times New Roman"/>
        </w:rPr>
      </w:pPr>
    </w:p>
    <w:p w14:paraId="06F87492">
      <w:pPr>
        <w:spacing w:before="92" w:line="491" w:lineRule="auto"/>
        <w:ind w:left="5227" w:hanging="2462"/>
        <w:rPr>
          <w:spacing w:val="21"/>
          <w:sz w:val="28"/>
          <w:szCs w:val="28"/>
        </w:rPr>
      </w:pPr>
    </w:p>
    <w:p w14:paraId="3162BF04">
      <w:pPr>
        <w:spacing w:before="92" w:line="491" w:lineRule="auto"/>
        <w:ind w:left="5227" w:hanging="2462"/>
        <w:rPr>
          <w:spacing w:val="21"/>
          <w:sz w:val="28"/>
          <w:szCs w:val="28"/>
        </w:rPr>
      </w:pPr>
    </w:p>
    <w:tbl>
      <w:tblPr>
        <w:tblStyle w:val="3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5"/>
        <w:gridCol w:w="554"/>
        <w:gridCol w:w="724"/>
        <w:gridCol w:w="724"/>
        <w:gridCol w:w="724"/>
        <w:gridCol w:w="724"/>
        <w:gridCol w:w="724"/>
        <w:gridCol w:w="724"/>
        <w:gridCol w:w="726"/>
      </w:tblGrid>
      <w:tr w14:paraId="7E595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79E2234F">
            <w:pPr>
              <w:pStyle w:val="10"/>
              <w:spacing w:line="279" w:lineRule="auto"/>
              <w:jc w:val="distribute"/>
              <w:rPr>
                <w:rFonts w:ascii="宋体" w:eastAsia="宋体" w:cs="Times New Roman"/>
                <w:lang w:eastAsia="zh-CN"/>
              </w:rPr>
            </w:pPr>
            <w:r>
              <w:rPr>
                <w:rFonts w:ascii="宋体" w:eastAsia="宋体" w:cs="Times New Roman"/>
                <w:spacing w:val="21"/>
                <w:lang w:eastAsia="zh-CN"/>
              </w:rPr>
              <w:t>出具报告机构（如有）</w:t>
            </w:r>
          </w:p>
        </w:tc>
        <w:tc>
          <w:tcPr>
            <w:tcW w:w="554" w:type="dxa"/>
            <w:vAlign w:val="center"/>
          </w:tcPr>
          <w:p w14:paraId="646D3C33">
            <w:pPr>
              <w:pStyle w:val="10"/>
              <w:spacing w:line="279" w:lineRule="auto"/>
              <w:jc w:val="both"/>
              <w:rPr>
                <w:rFonts w:ascii="宋体" w:eastAsia="宋体" w:cs="Times New Roman"/>
                <w:lang w:eastAsia="zh-CN"/>
              </w:rPr>
            </w:pPr>
            <w:r>
              <w:rPr>
                <w:rFonts w:ascii="宋体" w:eastAsia="宋体" w:cs="Times New Roman"/>
                <w:lang w:eastAsia="zh-CN"/>
              </w:rPr>
              <w:t>：</w:t>
            </w:r>
          </w:p>
        </w:tc>
        <w:tc>
          <w:tcPr>
            <w:tcW w:w="5070" w:type="dxa"/>
            <w:gridSpan w:val="7"/>
            <w:tcBorders>
              <w:bottom w:val="single" w:color="auto" w:sz="4" w:space="0"/>
            </w:tcBorders>
            <w:vAlign w:val="center"/>
          </w:tcPr>
          <w:p w14:paraId="7E17D3AE">
            <w:pPr>
              <w:pStyle w:val="10"/>
              <w:spacing w:line="279" w:lineRule="auto"/>
              <w:jc w:val="right"/>
              <w:rPr>
                <w:rFonts w:ascii="宋体" w:eastAsia="宋体" w:cs="Times New Roman"/>
                <w:lang w:eastAsia="zh-CN"/>
              </w:rPr>
            </w:pPr>
            <w:r>
              <w:rPr>
                <w:rFonts w:ascii="宋体" w:eastAsia="宋体" w:cs="Times New Roman"/>
                <w:lang w:eastAsia="zh-CN"/>
              </w:rPr>
              <w:t>（盖章）</w:t>
            </w:r>
          </w:p>
        </w:tc>
      </w:tr>
      <w:tr w14:paraId="6327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45" w:type="dxa"/>
            <w:vAlign w:val="center"/>
          </w:tcPr>
          <w:p w14:paraId="6E3A693B">
            <w:pPr>
              <w:pStyle w:val="10"/>
              <w:spacing w:line="279" w:lineRule="auto"/>
              <w:jc w:val="distribute"/>
              <w:rPr>
                <w:rFonts w:ascii="宋体" w:eastAsia="宋体" w:cs="Times New Roman"/>
                <w:lang w:eastAsia="zh-CN"/>
              </w:rPr>
            </w:pPr>
            <w:r>
              <w:rPr>
                <w:rFonts w:ascii="宋体" w:eastAsia="宋体" w:cs="Times New Roman"/>
                <w:lang w:eastAsia="zh-CN"/>
              </w:rPr>
              <w:t>日期</w:t>
            </w:r>
          </w:p>
        </w:tc>
        <w:tc>
          <w:tcPr>
            <w:tcW w:w="554" w:type="dxa"/>
            <w:vAlign w:val="center"/>
          </w:tcPr>
          <w:p w14:paraId="51C1DEDD">
            <w:pPr>
              <w:spacing w:line="279" w:lineRule="auto"/>
              <w:rPr>
                <w:rFonts w:ascii="宋体"/>
                <w:kern w:val="0"/>
                <w:sz w:val="28"/>
                <w:szCs w:val="28"/>
              </w:rPr>
            </w:pPr>
            <w:r>
              <w:rPr>
                <w:rFonts w:ascii="宋体"/>
                <w:kern w:val="0"/>
                <w:sz w:val="28"/>
                <w:szCs w:val="28"/>
              </w:rPr>
              <w:t>：</w:t>
            </w:r>
          </w:p>
        </w:tc>
        <w:tc>
          <w:tcPr>
            <w:tcW w:w="724" w:type="dxa"/>
            <w:tcBorders>
              <w:top w:val="single" w:color="auto" w:sz="4" w:space="0"/>
              <w:bottom w:val="single" w:color="auto" w:sz="4" w:space="0"/>
            </w:tcBorders>
            <w:vAlign w:val="center"/>
          </w:tcPr>
          <w:p w14:paraId="798205E8">
            <w:pPr>
              <w:pStyle w:val="10"/>
              <w:spacing w:line="279" w:lineRule="auto"/>
              <w:jc w:val="both"/>
              <w:rPr>
                <w:rFonts w:ascii="宋体" w:cs="Times New Roman"/>
              </w:rPr>
            </w:pPr>
          </w:p>
        </w:tc>
        <w:tc>
          <w:tcPr>
            <w:tcW w:w="724" w:type="dxa"/>
            <w:tcBorders>
              <w:top w:val="single" w:color="auto" w:sz="4" w:space="0"/>
              <w:bottom w:val="single" w:color="auto" w:sz="4" w:space="0"/>
            </w:tcBorders>
            <w:vAlign w:val="center"/>
          </w:tcPr>
          <w:p w14:paraId="156C9A9B">
            <w:pPr>
              <w:pStyle w:val="10"/>
              <w:spacing w:line="279" w:lineRule="auto"/>
              <w:jc w:val="both"/>
              <w:rPr>
                <w:rFonts w:ascii="宋体" w:cs="Times New Roman"/>
              </w:rPr>
            </w:pPr>
          </w:p>
        </w:tc>
        <w:tc>
          <w:tcPr>
            <w:tcW w:w="724" w:type="dxa"/>
            <w:tcBorders>
              <w:top w:val="single" w:color="auto" w:sz="4" w:space="0"/>
              <w:bottom w:val="nil"/>
            </w:tcBorders>
            <w:vAlign w:val="center"/>
          </w:tcPr>
          <w:p w14:paraId="232D9C9C">
            <w:pPr>
              <w:pStyle w:val="10"/>
              <w:spacing w:line="279" w:lineRule="auto"/>
              <w:jc w:val="center"/>
              <w:rPr>
                <w:rFonts w:ascii="宋体" w:eastAsia="宋体" w:cs="Times New Roman"/>
                <w:lang w:eastAsia="zh-CN"/>
              </w:rPr>
            </w:pPr>
            <w:r>
              <w:rPr>
                <w:rFonts w:ascii="宋体" w:eastAsia="宋体" w:cs="Times New Roman"/>
                <w:lang w:eastAsia="zh-CN"/>
              </w:rPr>
              <w:t>年</w:t>
            </w:r>
          </w:p>
        </w:tc>
        <w:tc>
          <w:tcPr>
            <w:tcW w:w="724" w:type="dxa"/>
            <w:tcBorders>
              <w:top w:val="single" w:color="auto" w:sz="4" w:space="0"/>
              <w:bottom w:val="single" w:color="auto" w:sz="4" w:space="0"/>
            </w:tcBorders>
            <w:vAlign w:val="center"/>
          </w:tcPr>
          <w:p w14:paraId="0E25C23A">
            <w:pPr>
              <w:pStyle w:val="10"/>
              <w:spacing w:line="279" w:lineRule="auto"/>
              <w:jc w:val="center"/>
              <w:rPr>
                <w:rFonts w:ascii="宋体" w:cs="Times New Roman"/>
              </w:rPr>
            </w:pPr>
          </w:p>
        </w:tc>
        <w:tc>
          <w:tcPr>
            <w:tcW w:w="724" w:type="dxa"/>
            <w:tcBorders>
              <w:top w:val="single" w:color="auto" w:sz="4" w:space="0"/>
              <w:bottom w:val="nil"/>
            </w:tcBorders>
            <w:vAlign w:val="center"/>
          </w:tcPr>
          <w:p w14:paraId="5361C35D">
            <w:pPr>
              <w:pStyle w:val="10"/>
              <w:spacing w:line="279" w:lineRule="auto"/>
              <w:jc w:val="center"/>
              <w:rPr>
                <w:rFonts w:ascii="宋体" w:eastAsia="宋体" w:cs="Times New Roman"/>
                <w:lang w:eastAsia="zh-CN"/>
              </w:rPr>
            </w:pPr>
            <w:r>
              <w:rPr>
                <w:rFonts w:ascii="宋体" w:eastAsia="宋体" w:cs="Times New Roman"/>
                <w:lang w:eastAsia="zh-CN"/>
              </w:rPr>
              <w:t>月</w:t>
            </w:r>
          </w:p>
        </w:tc>
        <w:tc>
          <w:tcPr>
            <w:tcW w:w="724" w:type="dxa"/>
            <w:tcBorders>
              <w:top w:val="single" w:color="auto" w:sz="4" w:space="0"/>
              <w:bottom w:val="single" w:color="auto" w:sz="4" w:space="0"/>
            </w:tcBorders>
            <w:vAlign w:val="center"/>
          </w:tcPr>
          <w:p w14:paraId="1BBAFF4F">
            <w:pPr>
              <w:pStyle w:val="10"/>
              <w:spacing w:line="279" w:lineRule="auto"/>
              <w:jc w:val="center"/>
              <w:rPr>
                <w:rFonts w:ascii="宋体" w:cs="Times New Roman"/>
              </w:rPr>
            </w:pPr>
          </w:p>
        </w:tc>
        <w:tc>
          <w:tcPr>
            <w:tcW w:w="726" w:type="dxa"/>
            <w:tcBorders>
              <w:top w:val="single" w:color="auto" w:sz="4" w:space="0"/>
              <w:bottom w:val="nil"/>
            </w:tcBorders>
            <w:vAlign w:val="center"/>
          </w:tcPr>
          <w:p w14:paraId="4137123E">
            <w:pPr>
              <w:pStyle w:val="10"/>
              <w:spacing w:line="279" w:lineRule="auto"/>
              <w:jc w:val="center"/>
              <w:rPr>
                <w:rFonts w:ascii="宋体" w:eastAsia="宋体" w:cs="Times New Roman"/>
                <w:lang w:eastAsia="zh-CN"/>
              </w:rPr>
            </w:pPr>
            <w:r>
              <w:rPr>
                <w:rFonts w:ascii="宋体" w:eastAsia="宋体" w:cs="Times New Roman"/>
                <w:lang w:eastAsia="zh-CN"/>
              </w:rPr>
              <w:t>日</w:t>
            </w:r>
          </w:p>
        </w:tc>
      </w:tr>
    </w:tbl>
    <w:p w14:paraId="6476EE92">
      <w:pPr>
        <w:spacing w:before="240" w:line="492" w:lineRule="auto"/>
        <w:ind w:left="2460" w:hanging="2460"/>
        <w:rPr>
          <w:sz w:val="28"/>
          <w:szCs w:val="28"/>
        </w:rPr>
      </w:pPr>
    </w:p>
    <w:p w14:paraId="01A58D35">
      <w:pPr>
        <w:spacing w:line="491" w:lineRule="auto"/>
        <w:rPr>
          <w:sz w:val="28"/>
          <w:szCs w:val="28"/>
        </w:rPr>
        <w:sectPr>
          <w:footerReference r:id="rId15" w:type="default"/>
          <w:pgSz w:w="11907" w:h="16839"/>
          <w:pgMar w:top="1020" w:right="1134" w:bottom="1020" w:left="1020" w:header="0" w:footer="1133" w:gutter="0"/>
          <w:cols w:space="720" w:num="1"/>
        </w:sectPr>
      </w:pPr>
    </w:p>
    <w:p w14:paraId="4D3882B6">
      <w:pPr>
        <w:spacing w:before="156" w:beforeLines="50" w:after="156" w:afterLines="50" w:line="276" w:lineRule="auto"/>
        <w:rPr>
          <w:rFonts w:eastAsia="黑体"/>
          <w:sz w:val="24"/>
        </w:rPr>
      </w:pPr>
      <w:r>
        <w:rPr>
          <w:rFonts w:eastAsia="黑体"/>
          <w:spacing w:val="-17"/>
          <w:sz w:val="24"/>
        </w:rPr>
        <w:t>一、概况</w:t>
      </w:r>
    </w:p>
    <w:p w14:paraId="5E6336C9">
      <w:pPr>
        <w:spacing w:after="156" w:afterLines="50" w:line="276" w:lineRule="auto"/>
        <w:rPr>
          <w:rFonts w:eastAsia="黑体"/>
          <w:sz w:val="22"/>
          <w:szCs w:val="22"/>
        </w:rPr>
      </w:pPr>
      <w:r>
        <w:rPr>
          <w:rFonts w:eastAsia="黑体"/>
          <w:spacing w:val="-9"/>
          <w:sz w:val="22"/>
          <w:szCs w:val="22"/>
        </w:rPr>
        <w:t>1、生产者信息</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4"/>
        <w:gridCol w:w="2942"/>
      </w:tblGrid>
      <w:tr w14:paraId="1DE7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494258FE">
            <w:pPr>
              <w:spacing w:line="276" w:lineRule="auto"/>
              <w:jc w:val="distribute"/>
              <w:rPr>
                <w:rFonts w:ascii="宋体"/>
                <w:szCs w:val="21"/>
              </w:rPr>
            </w:pPr>
            <w:r>
              <w:rPr>
                <w:rFonts w:ascii="宋体"/>
                <w:szCs w:val="21"/>
              </w:rPr>
              <w:t>生产者名称：</w:t>
            </w:r>
          </w:p>
        </w:tc>
        <w:tc>
          <w:tcPr>
            <w:tcW w:w="2942" w:type="dxa"/>
            <w:tcBorders>
              <w:bottom w:val="single" w:color="auto" w:sz="4" w:space="0"/>
            </w:tcBorders>
          </w:tcPr>
          <w:p w14:paraId="7BACA603">
            <w:pPr>
              <w:spacing w:line="276" w:lineRule="auto"/>
              <w:rPr>
                <w:rFonts w:ascii="宋体"/>
                <w:szCs w:val="21"/>
              </w:rPr>
            </w:pPr>
          </w:p>
        </w:tc>
      </w:tr>
      <w:tr w14:paraId="2784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12DDB17A">
            <w:pPr>
              <w:spacing w:line="276" w:lineRule="auto"/>
              <w:jc w:val="distribute"/>
              <w:rPr>
                <w:rFonts w:ascii="宋体"/>
                <w:szCs w:val="21"/>
              </w:rPr>
            </w:pPr>
            <w:r>
              <w:rPr>
                <w:rFonts w:ascii="宋体"/>
                <w:szCs w:val="21"/>
              </w:rPr>
              <w:t>地址：</w:t>
            </w:r>
          </w:p>
        </w:tc>
        <w:tc>
          <w:tcPr>
            <w:tcW w:w="2942" w:type="dxa"/>
            <w:tcBorders>
              <w:top w:val="single" w:color="auto" w:sz="4" w:space="0"/>
              <w:bottom w:val="single" w:color="auto" w:sz="4" w:space="0"/>
            </w:tcBorders>
          </w:tcPr>
          <w:p w14:paraId="35F90FFD">
            <w:pPr>
              <w:spacing w:line="276" w:lineRule="auto"/>
              <w:rPr>
                <w:rFonts w:ascii="宋体"/>
                <w:szCs w:val="21"/>
              </w:rPr>
            </w:pPr>
          </w:p>
        </w:tc>
      </w:tr>
      <w:tr w14:paraId="1D82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07CC015A">
            <w:pPr>
              <w:spacing w:line="276" w:lineRule="auto"/>
              <w:jc w:val="distribute"/>
              <w:rPr>
                <w:rFonts w:ascii="宋体"/>
                <w:szCs w:val="21"/>
              </w:rPr>
            </w:pPr>
            <w:r>
              <w:rPr>
                <w:rFonts w:hint="eastAsia" w:ascii="宋体"/>
                <w:szCs w:val="21"/>
              </w:rPr>
              <w:t>统一社会信用代码：</w:t>
            </w:r>
          </w:p>
        </w:tc>
        <w:tc>
          <w:tcPr>
            <w:tcW w:w="2942" w:type="dxa"/>
            <w:tcBorders>
              <w:top w:val="single" w:color="auto" w:sz="4" w:space="0"/>
              <w:bottom w:val="single" w:color="auto" w:sz="4" w:space="0"/>
            </w:tcBorders>
          </w:tcPr>
          <w:p w14:paraId="1711E759">
            <w:pPr>
              <w:spacing w:line="276" w:lineRule="auto"/>
              <w:rPr>
                <w:rFonts w:ascii="宋体"/>
                <w:szCs w:val="21"/>
              </w:rPr>
            </w:pPr>
          </w:p>
        </w:tc>
      </w:tr>
      <w:tr w14:paraId="6F5EF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4C0AD9D3">
            <w:pPr>
              <w:tabs>
                <w:tab w:val="left" w:pos="4257"/>
                <w:tab w:val="left" w:pos="4258"/>
                <w:tab w:val="left" w:pos="4307"/>
              </w:tabs>
              <w:spacing w:line="276" w:lineRule="auto"/>
              <w:ind w:firstLine="3"/>
              <w:jc w:val="distribute"/>
              <w:rPr>
                <w:rFonts w:ascii="宋体"/>
                <w:szCs w:val="21"/>
                <w:u w:val="single"/>
              </w:rPr>
            </w:pPr>
            <w:r>
              <w:rPr>
                <w:rFonts w:ascii="宋体"/>
                <w:szCs w:val="21"/>
              </w:rPr>
              <w:t>法定代表人：</w:t>
            </w:r>
          </w:p>
        </w:tc>
        <w:tc>
          <w:tcPr>
            <w:tcW w:w="2942" w:type="dxa"/>
            <w:tcBorders>
              <w:top w:val="single" w:color="auto" w:sz="4" w:space="0"/>
              <w:bottom w:val="single" w:color="auto" w:sz="4" w:space="0"/>
            </w:tcBorders>
          </w:tcPr>
          <w:p w14:paraId="23D9176D">
            <w:pPr>
              <w:tabs>
                <w:tab w:val="left" w:pos="4257"/>
                <w:tab w:val="left" w:pos="4258"/>
                <w:tab w:val="left" w:pos="4307"/>
              </w:tabs>
              <w:spacing w:line="276" w:lineRule="auto"/>
              <w:ind w:firstLine="3"/>
              <w:rPr>
                <w:rFonts w:ascii="宋体"/>
                <w:szCs w:val="21"/>
              </w:rPr>
            </w:pPr>
          </w:p>
        </w:tc>
      </w:tr>
      <w:tr w14:paraId="716F8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72FB6F1A">
            <w:pPr>
              <w:tabs>
                <w:tab w:val="left" w:pos="4257"/>
                <w:tab w:val="left" w:pos="4258"/>
                <w:tab w:val="left" w:pos="4307"/>
              </w:tabs>
              <w:spacing w:line="276" w:lineRule="auto"/>
              <w:ind w:firstLine="3"/>
              <w:jc w:val="distribute"/>
              <w:rPr>
                <w:rFonts w:ascii="宋体"/>
                <w:szCs w:val="21"/>
                <w:u w:val="single"/>
              </w:rPr>
            </w:pPr>
            <w:r>
              <w:rPr>
                <w:rFonts w:ascii="宋体"/>
                <w:szCs w:val="21"/>
              </w:rPr>
              <w:t>授权人（联系人）：</w:t>
            </w:r>
          </w:p>
        </w:tc>
        <w:tc>
          <w:tcPr>
            <w:tcW w:w="2942" w:type="dxa"/>
            <w:tcBorders>
              <w:top w:val="single" w:color="auto" w:sz="4" w:space="0"/>
              <w:bottom w:val="single" w:color="auto" w:sz="4" w:space="0"/>
            </w:tcBorders>
          </w:tcPr>
          <w:p w14:paraId="680A0448">
            <w:pPr>
              <w:tabs>
                <w:tab w:val="left" w:pos="4257"/>
                <w:tab w:val="left" w:pos="4258"/>
                <w:tab w:val="left" w:pos="4307"/>
              </w:tabs>
              <w:spacing w:line="276" w:lineRule="auto"/>
              <w:ind w:firstLine="3"/>
              <w:rPr>
                <w:rFonts w:ascii="宋体"/>
                <w:szCs w:val="21"/>
              </w:rPr>
            </w:pPr>
          </w:p>
        </w:tc>
      </w:tr>
      <w:tr w14:paraId="38387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05A3724D">
            <w:pPr>
              <w:tabs>
                <w:tab w:val="left" w:pos="4257"/>
                <w:tab w:val="left" w:pos="4258"/>
                <w:tab w:val="left" w:pos="4307"/>
              </w:tabs>
              <w:spacing w:line="276" w:lineRule="auto"/>
              <w:ind w:firstLine="3"/>
              <w:jc w:val="distribute"/>
              <w:rPr>
                <w:rFonts w:ascii="宋体"/>
                <w:szCs w:val="21"/>
                <w:u w:val="single"/>
              </w:rPr>
            </w:pPr>
            <w:r>
              <w:rPr>
                <w:rFonts w:ascii="宋体"/>
                <w:szCs w:val="21"/>
              </w:rPr>
              <w:t>联系电话：</w:t>
            </w:r>
          </w:p>
        </w:tc>
        <w:tc>
          <w:tcPr>
            <w:tcW w:w="2942" w:type="dxa"/>
            <w:tcBorders>
              <w:top w:val="single" w:color="auto" w:sz="4" w:space="0"/>
              <w:bottom w:val="single" w:color="auto" w:sz="4" w:space="0"/>
            </w:tcBorders>
          </w:tcPr>
          <w:p w14:paraId="24C47D66">
            <w:pPr>
              <w:tabs>
                <w:tab w:val="left" w:pos="4257"/>
                <w:tab w:val="left" w:pos="4258"/>
                <w:tab w:val="left" w:pos="4307"/>
              </w:tabs>
              <w:spacing w:line="276" w:lineRule="auto"/>
              <w:ind w:firstLine="3"/>
              <w:rPr>
                <w:rFonts w:ascii="宋体"/>
                <w:szCs w:val="21"/>
              </w:rPr>
            </w:pPr>
          </w:p>
        </w:tc>
      </w:tr>
      <w:tr w14:paraId="1037C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2D60BC5E">
            <w:pPr>
              <w:tabs>
                <w:tab w:val="left" w:pos="4257"/>
                <w:tab w:val="left" w:pos="4258"/>
                <w:tab w:val="left" w:pos="4307"/>
              </w:tabs>
              <w:spacing w:line="276" w:lineRule="auto"/>
              <w:ind w:firstLine="3"/>
              <w:jc w:val="distribute"/>
              <w:rPr>
                <w:rFonts w:ascii="宋体"/>
                <w:szCs w:val="21"/>
                <w:u w:val="single"/>
              </w:rPr>
            </w:pPr>
            <w:r>
              <w:rPr>
                <w:rFonts w:ascii="宋体"/>
                <w:szCs w:val="21"/>
              </w:rPr>
              <w:t>企业概况：</w:t>
            </w:r>
          </w:p>
        </w:tc>
        <w:tc>
          <w:tcPr>
            <w:tcW w:w="2942" w:type="dxa"/>
            <w:tcBorders>
              <w:top w:val="single" w:color="auto" w:sz="4" w:space="0"/>
              <w:bottom w:val="single" w:color="auto" w:sz="4" w:space="0"/>
            </w:tcBorders>
          </w:tcPr>
          <w:p w14:paraId="38838EB1">
            <w:pPr>
              <w:tabs>
                <w:tab w:val="left" w:pos="4257"/>
                <w:tab w:val="left" w:pos="4258"/>
                <w:tab w:val="left" w:pos="4307"/>
              </w:tabs>
              <w:spacing w:line="276" w:lineRule="auto"/>
              <w:ind w:firstLine="3"/>
              <w:rPr>
                <w:rFonts w:ascii="宋体"/>
                <w:szCs w:val="21"/>
              </w:rPr>
            </w:pPr>
          </w:p>
        </w:tc>
      </w:tr>
    </w:tbl>
    <w:p w14:paraId="2616FBAA">
      <w:pPr>
        <w:spacing w:after="156" w:afterLines="50" w:line="276" w:lineRule="auto"/>
        <w:rPr>
          <w:rFonts w:eastAsia="黑体"/>
          <w:spacing w:val="-9"/>
          <w:sz w:val="22"/>
          <w:szCs w:val="22"/>
        </w:rPr>
      </w:pPr>
      <w:r>
        <w:rPr>
          <w:rFonts w:eastAsia="黑体"/>
          <w:spacing w:val="-9"/>
          <w:sz w:val="22"/>
          <w:szCs w:val="22"/>
        </w:rPr>
        <w:t>2、产品信息</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4"/>
        <w:gridCol w:w="2942"/>
      </w:tblGrid>
      <w:tr w14:paraId="68B87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77EF70A6">
            <w:pPr>
              <w:spacing w:line="276" w:lineRule="auto"/>
              <w:jc w:val="distribute"/>
              <w:rPr>
                <w:rFonts w:ascii="宋体"/>
                <w:szCs w:val="21"/>
              </w:rPr>
            </w:pPr>
            <w:r>
              <w:rPr>
                <w:rFonts w:ascii="宋体"/>
                <w:szCs w:val="21"/>
              </w:rPr>
              <w:t>产品名称：</w:t>
            </w:r>
          </w:p>
        </w:tc>
        <w:tc>
          <w:tcPr>
            <w:tcW w:w="2942" w:type="dxa"/>
            <w:tcBorders>
              <w:bottom w:val="single" w:color="auto" w:sz="4" w:space="0"/>
            </w:tcBorders>
          </w:tcPr>
          <w:p w14:paraId="59D1E9BB">
            <w:pPr>
              <w:tabs>
                <w:tab w:val="left" w:pos="4258"/>
              </w:tabs>
              <w:spacing w:line="276" w:lineRule="auto"/>
              <w:rPr>
                <w:rFonts w:ascii="宋体"/>
                <w:spacing w:val="-12"/>
                <w:szCs w:val="21"/>
              </w:rPr>
            </w:pPr>
          </w:p>
        </w:tc>
      </w:tr>
      <w:tr w14:paraId="2F44F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2B796EAD">
            <w:pPr>
              <w:spacing w:line="276" w:lineRule="auto"/>
              <w:jc w:val="distribute"/>
              <w:rPr>
                <w:rFonts w:ascii="宋体"/>
                <w:szCs w:val="21"/>
              </w:rPr>
            </w:pPr>
            <w:r>
              <w:rPr>
                <w:rFonts w:ascii="宋体"/>
                <w:szCs w:val="21"/>
              </w:rPr>
              <w:t>产品执行标准：</w:t>
            </w:r>
          </w:p>
        </w:tc>
        <w:tc>
          <w:tcPr>
            <w:tcW w:w="2942" w:type="dxa"/>
            <w:tcBorders>
              <w:top w:val="single" w:color="auto" w:sz="4" w:space="0"/>
              <w:bottom w:val="single" w:color="auto" w:sz="4" w:space="0"/>
            </w:tcBorders>
          </w:tcPr>
          <w:p w14:paraId="40CACFB3">
            <w:pPr>
              <w:tabs>
                <w:tab w:val="left" w:pos="4258"/>
              </w:tabs>
              <w:spacing w:line="276" w:lineRule="auto"/>
              <w:rPr>
                <w:rFonts w:ascii="宋体"/>
                <w:szCs w:val="21"/>
                <w:u w:val="single"/>
              </w:rPr>
            </w:pPr>
          </w:p>
        </w:tc>
      </w:tr>
      <w:tr w14:paraId="10EC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25170A42">
            <w:pPr>
              <w:spacing w:line="276" w:lineRule="auto"/>
              <w:jc w:val="distribute"/>
              <w:rPr>
                <w:rFonts w:ascii="宋体"/>
                <w:szCs w:val="21"/>
              </w:rPr>
            </w:pPr>
            <w:r>
              <w:rPr>
                <w:rFonts w:ascii="宋体"/>
                <w:szCs w:val="21"/>
              </w:rPr>
              <w:t>产品功能：</w:t>
            </w:r>
          </w:p>
        </w:tc>
        <w:tc>
          <w:tcPr>
            <w:tcW w:w="2942" w:type="dxa"/>
            <w:tcBorders>
              <w:top w:val="single" w:color="auto" w:sz="4" w:space="0"/>
              <w:bottom w:val="single" w:color="auto" w:sz="4" w:space="0"/>
            </w:tcBorders>
          </w:tcPr>
          <w:p w14:paraId="0884365D">
            <w:pPr>
              <w:tabs>
                <w:tab w:val="left" w:pos="4258"/>
              </w:tabs>
              <w:spacing w:line="276" w:lineRule="auto"/>
              <w:rPr>
                <w:rFonts w:ascii="宋体"/>
                <w:spacing w:val="-14"/>
                <w:szCs w:val="21"/>
              </w:rPr>
            </w:pPr>
          </w:p>
        </w:tc>
      </w:tr>
      <w:tr w14:paraId="1FB3E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769DA4D9">
            <w:pPr>
              <w:spacing w:line="276" w:lineRule="auto"/>
              <w:jc w:val="distribute"/>
              <w:rPr>
                <w:rFonts w:ascii="宋体"/>
                <w:szCs w:val="21"/>
              </w:rPr>
            </w:pPr>
            <w:r>
              <w:rPr>
                <w:rFonts w:ascii="宋体"/>
                <w:szCs w:val="21"/>
              </w:rPr>
              <w:t>主要性能指标：</w:t>
            </w:r>
          </w:p>
        </w:tc>
        <w:tc>
          <w:tcPr>
            <w:tcW w:w="2942" w:type="dxa"/>
            <w:tcBorders>
              <w:top w:val="single" w:color="auto" w:sz="4" w:space="0"/>
              <w:bottom w:val="single" w:color="auto" w:sz="4" w:space="0"/>
            </w:tcBorders>
          </w:tcPr>
          <w:p w14:paraId="3C6D9EDA">
            <w:pPr>
              <w:tabs>
                <w:tab w:val="left" w:pos="4258"/>
              </w:tabs>
              <w:spacing w:line="276" w:lineRule="auto"/>
              <w:rPr>
                <w:rFonts w:ascii="宋体"/>
                <w:szCs w:val="21"/>
                <w:u w:val="single"/>
              </w:rPr>
            </w:pPr>
          </w:p>
        </w:tc>
      </w:tr>
      <w:tr w14:paraId="279F2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54436AD3">
            <w:pPr>
              <w:spacing w:line="276" w:lineRule="auto"/>
              <w:jc w:val="distribute"/>
              <w:rPr>
                <w:rFonts w:ascii="宋体"/>
                <w:szCs w:val="21"/>
              </w:rPr>
            </w:pPr>
            <w:r>
              <w:rPr>
                <w:rFonts w:ascii="宋体"/>
                <w:szCs w:val="21"/>
              </w:rPr>
              <w:t>产品介绍：</w:t>
            </w:r>
          </w:p>
        </w:tc>
        <w:tc>
          <w:tcPr>
            <w:tcW w:w="2942" w:type="dxa"/>
            <w:tcBorders>
              <w:top w:val="single" w:color="auto" w:sz="4" w:space="0"/>
              <w:bottom w:val="single" w:color="auto" w:sz="4" w:space="0"/>
            </w:tcBorders>
          </w:tcPr>
          <w:p w14:paraId="4E499612">
            <w:pPr>
              <w:tabs>
                <w:tab w:val="left" w:pos="4258"/>
              </w:tabs>
              <w:spacing w:line="276" w:lineRule="auto"/>
              <w:rPr>
                <w:rFonts w:ascii="宋体"/>
                <w:spacing w:val="-12"/>
                <w:szCs w:val="21"/>
              </w:rPr>
            </w:pPr>
          </w:p>
        </w:tc>
      </w:tr>
      <w:tr w14:paraId="29074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1D1EF26B">
            <w:pPr>
              <w:spacing w:line="276" w:lineRule="auto"/>
              <w:jc w:val="distribute"/>
              <w:rPr>
                <w:rFonts w:ascii="宋体"/>
                <w:szCs w:val="21"/>
              </w:rPr>
            </w:pPr>
            <w:r>
              <w:rPr>
                <w:rFonts w:ascii="宋体"/>
                <w:szCs w:val="21"/>
              </w:rPr>
              <w:t>产品图片：</w:t>
            </w:r>
          </w:p>
        </w:tc>
        <w:tc>
          <w:tcPr>
            <w:tcW w:w="2942" w:type="dxa"/>
            <w:tcBorders>
              <w:top w:val="single" w:color="auto" w:sz="4" w:space="0"/>
              <w:bottom w:val="single" w:color="auto" w:sz="4" w:space="0"/>
            </w:tcBorders>
          </w:tcPr>
          <w:p w14:paraId="7E4D9318">
            <w:pPr>
              <w:tabs>
                <w:tab w:val="left" w:pos="4258"/>
              </w:tabs>
              <w:spacing w:line="276" w:lineRule="auto"/>
              <w:rPr>
                <w:rFonts w:ascii="宋体"/>
                <w:spacing w:val="-17"/>
                <w:szCs w:val="21"/>
              </w:rPr>
            </w:pPr>
          </w:p>
        </w:tc>
      </w:tr>
      <w:tr w14:paraId="5CA5A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0617E4C2">
            <w:pPr>
              <w:spacing w:line="276" w:lineRule="auto"/>
              <w:jc w:val="distribute"/>
              <w:rPr>
                <w:rFonts w:ascii="宋体"/>
                <w:szCs w:val="21"/>
              </w:rPr>
            </w:pPr>
            <w:r>
              <w:rPr>
                <w:rFonts w:ascii="宋体"/>
                <w:szCs w:val="21"/>
              </w:rPr>
              <w:t>生产工艺流程：</w:t>
            </w:r>
          </w:p>
        </w:tc>
        <w:tc>
          <w:tcPr>
            <w:tcW w:w="2942" w:type="dxa"/>
            <w:tcBorders>
              <w:top w:val="single" w:color="auto" w:sz="4" w:space="0"/>
              <w:bottom w:val="single" w:color="auto" w:sz="4" w:space="0"/>
            </w:tcBorders>
          </w:tcPr>
          <w:p w14:paraId="3F8A330D">
            <w:pPr>
              <w:tabs>
                <w:tab w:val="left" w:pos="4258"/>
              </w:tabs>
              <w:spacing w:line="276" w:lineRule="auto"/>
              <w:rPr>
                <w:rFonts w:ascii="宋体"/>
                <w:szCs w:val="21"/>
                <w:u w:val="single"/>
              </w:rPr>
            </w:pPr>
          </w:p>
        </w:tc>
      </w:tr>
    </w:tbl>
    <w:p w14:paraId="660BAF90">
      <w:pPr>
        <w:spacing w:after="156" w:afterLines="50" w:line="276" w:lineRule="auto"/>
        <w:rPr>
          <w:rFonts w:eastAsia="黑体"/>
          <w:spacing w:val="-9"/>
          <w:sz w:val="22"/>
          <w:szCs w:val="22"/>
        </w:rPr>
      </w:pPr>
      <w:r>
        <w:rPr>
          <w:rFonts w:eastAsia="黑体"/>
          <w:spacing w:val="-9"/>
          <w:sz w:val="22"/>
          <w:szCs w:val="22"/>
        </w:rPr>
        <w:t>3、量化方法</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4"/>
        <w:gridCol w:w="2942"/>
      </w:tblGrid>
      <w:tr w14:paraId="4668F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07D1633A">
            <w:pPr>
              <w:spacing w:line="276" w:lineRule="auto"/>
              <w:jc w:val="distribute"/>
              <w:rPr>
                <w:rFonts w:ascii="宋体"/>
                <w:szCs w:val="21"/>
              </w:rPr>
            </w:pPr>
            <w:r>
              <w:rPr>
                <w:rFonts w:ascii="宋体"/>
                <w:szCs w:val="21"/>
              </w:rPr>
              <w:t>依据标准：</w:t>
            </w:r>
          </w:p>
        </w:tc>
        <w:tc>
          <w:tcPr>
            <w:tcW w:w="2942" w:type="dxa"/>
            <w:tcBorders>
              <w:bottom w:val="single" w:color="auto" w:sz="4" w:space="0"/>
            </w:tcBorders>
          </w:tcPr>
          <w:p w14:paraId="35B8B750">
            <w:pPr>
              <w:tabs>
                <w:tab w:val="left" w:pos="4258"/>
              </w:tabs>
              <w:spacing w:line="276" w:lineRule="auto"/>
              <w:rPr>
                <w:rFonts w:ascii="宋体"/>
                <w:spacing w:val="-12"/>
                <w:szCs w:val="21"/>
              </w:rPr>
            </w:pPr>
          </w:p>
        </w:tc>
      </w:tr>
    </w:tbl>
    <w:p w14:paraId="6E5D8B16">
      <w:pPr>
        <w:spacing w:before="156" w:beforeLines="50" w:after="156" w:afterLines="50" w:line="276" w:lineRule="auto"/>
        <w:rPr>
          <w:rFonts w:eastAsia="黑体"/>
          <w:spacing w:val="-17"/>
          <w:sz w:val="24"/>
        </w:rPr>
      </w:pPr>
      <w:r>
        <w:rPr>
          <w:rFonts w:eastAsia="黑体"/>
          <w:spacing w:val="-17"/>
          <w:sz w:val="24"/>
        </w:rPr>
        <w:t>二、量化目的</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86"/>
      </w:tblGrid>
      <w:tr w14:paraId="5AC7D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5186" w:type="dxa"/>
            <w:tcBorders>
              <w:bottom w:val="single" w:color="auto" w:sz="4" w:space="0"/>
            </w:tcBorders>
            <w:vAlign w:val="center"/>
          </w:tcPr>
          <w:p w14:paraId="30B8CAC6">
            <w:pPr>
              <w:tabs>
                <w:tab w:val="left" w:pos="4258"/>
              </w:tabs>
              <w:spacing w:line="276" w:lineRule="auto"/>
              <w:rPr>
                <w:rFonts w:ascii="宋体"/>
                <w:spacing w:val="-12"/>
                <w:szCs w:val="21"/>
              </w:rPr>
            </w:pPr>
          </w:p>
        </w:tc>
      </w:tr>
    </w:tbl>
    <w:p w14:paraId="42122897">
      <w:pPr>
        <w:spacing w:before="156" w:beforeLines="50" w:after="156" w:afterLines="50" w:line="276" w:lineRule="auto"/>
        <w:rPr>
          <w:rFonts w:eastAsia="黑体"/>
          <w:spacing w:val="-17"/>
          <w:sz w:val="24"/>
        </w:rPr>
      </w:pPr>
      <w:r>
        <w:rPr>
          <w:rFonts w:eastAsia="黑体"/>
          <w:spacing w:val="-17"/>
          <w:sz w:val="24"/>
        </w:rPr>
        <w:t>三、量化范围</w:t>
      </w:r>
    </w:p>
    <w:p w14:paraId="706C3C0A">
      <w:pPr>
        <w:spacing w:after="156" w:afterLines="50" w:line="276" w:lineRule="auto"/>
        <w:rPr>
          <w:rFonts w:eastAsia="黑体"/>
          <w:spacing w:val="-9"/>
          <w:sz w:val="22"/>
          <w:szCs w:val="22"/>
        </w:rPr>
      </w:pPr>
      <w:r>
        <w:rPr>
          <w:rFonts w:eastAsia="黑体"/>
          <w:spacing w:val="-9"/>
          <w:sz w:val="22"/>
          <w:szCs w:val="22"/>
        </w:rPr>
        <w:t>1、功能单位或声明单位</w:t>
      </w:r>
    </w:p>
    <w:p w14:paraId="65F93DFB">
      <w:pPr>
        <w:spacing w:line="276" w:lineRule="auto"/>
        <w:ind w:firstLine="456" w:firstLineChars="200"/>
        <w:rPr>
          <w:szCs w:val="21"/>
        </w:rPr>
      </w:pPr>
      <w:r>
        <w:rPr>
          <w:spacing w:val="9"/>
          <w:szCs w:val="21"/>
        </w:rPr>
        <w:t>以</w:t>
      </w:r>
      <w:r>
        <w:rPr>
          <w:spacing w:val="1"/>
          <w:szCs w:val="21"/>
          <w:u w:val="single"/>
        </w:rPr>
        <w:t xml:space="preserve">             </w:t>
      </w:r>
      <w:r>
        <w:rPr>
          <w:spacing w:val="9"/>
          <w:szCs w:val="21"/>
        </w:rPr>
        <w:t xml:space="preserve"> 为功能单位或声明单位。</w:t>
      </w:r>
    </w:p>
    <w:p w14:paraId="5C6AEEC1">
      <w:pPr>
        <w:spacing w:after="156" w:afterLines="50" w:line="276" w:lineRule="auto"/>
        <w:rPr>
          <w:rFonts w:eastAsia="黑体"/>
          <w:spacing w:val="-9"/>
          <w:sz w:val="22"/>
          <w:szCs w:val="22"/>
        </w:rPr>
      </w:pPr>
      <w:r>
        <w:rPr>
          <w:rFonts w:eastAsia="黑体"/>
          <w:spacing w:val="-9"/>
          <w:sz w:val="22"/>
          <w:szCs w:val="22"/>
        </w:rPr>
        <w:t>2、系统边界</w:t>
      </w:r>
    </w:p>
    <w:p w14:paraId="0FE1FC07">
      <w:pPr>
        <w:spacing w:line="276" w:lineRule="auto"/>
        <w:ind w:firstLine="456" w:firstLineChars="200"/>
        <w:rPr>
          <w:spacing w:val="9"/>
          <w:szCs w:val="21"/>
        </w:rPr>
      </w:pPr>
      <w:r>
        <w:rPr>
          <w:spacing w:val="9"/>
          <w:szCs w:val="21"/>
        </w:rPr>
        <w:t>将系统边界界定为</w:t>
      </w:r>
      <w:r>
        <w:rPr>
          <w:spacing w:val="9"/>
          <w:szCs w:val="21"/>
        </w:rPr>
        <w:sym w:font="Wingdings 2" w:char="00A3"/>
      </w:r>
      <w:r>
        <w:rPr>
          <w:rFonts w:hint="eastAsia"/>
          <w:spacing w:val="9"/>
          <w:szCs w:val="21"/>
          <w:lang w:val="en-US" w:eastAsia="zh-CN"/>
        </w:rPr>
        <w:t>生产</w:t>
      </w:r>
      <w:r>
        <w:rPr>
          <w:spacing w:val="9"/>
          <w:szCs w:val="21"/>
        </w:rPr>
        <w:t>阶段</w:t>
      </w:r>
      <w:r>
        <w:rPr>
          <w:spacing w:val="9"/>
          <w:szCs w:val="21"/>
        </w:rPr>
        <w:sym w:font="Wingdings 2" w:char="00A3"/>
      </w:r>
      <w:r>
        <w:rPr>
          <w:rFonts w:hint="eastAsia"/>
          <w:spacing w:val="9"/>
          <w:szCs w:val="21"/>
          <w:lang w:val="en-US" w:eastAsia="zh-CN"/>
        </w:rPr>
        <w:t>施工</w:t>
      </w:r>
      <w:r>
        <w:rPr>
          <w:spacing w:val="9"/>
          <w:szCs w:val="21"/>
        </w:rPr>
        <w:t>阶段</w:t>
      </w:r>
      <w:r>
        <w:rPr>
          <w:spacing w:val="9"/>
          <w:szCs w:val="21"/>
        </w:rPr>
        <w:sym w:font="Wingdings 2" w:char="00A3"/>
      </w:r>
      <w:r>
        <w:rPr>
          <w:rFonts w:hint="eastAsia"/>
          <w:spacing w:val="9"/>
          <w:szCs w:val="21"/>
          <w:lang w:val="en-US" w:eastAsia="zh-CN"/>
        </w:rPr>
        <w:t>使用</w:t>
      </w:r>
      <w:r>
        <w:rPr>
          <w:spacing w:val="9"/>
          <w:szCs w:val="21"/>
        </w:rPr>
        <w:t>阶段</w:t>
      </w:r>
      <w:r>
        <w:rPr>
          <w:spacing w:val="9"/>
          <w:szCs w:val="21"/>
        </w:rPr>
        <w:sym w:font="Wingdings 2" w:char="00A3"/>
      </w:r>
      <w:r>
        <w:rPr>
          <w:spacing w:val="9"/>
          <w:szCs w:val="21"/>
        </w:rPr>
        <w:t>生命末期。</w:t>
      </w:r>
    </w:p>
    <w:p w14:paraId="5271F92F">
      <w:pPr>
        <w:spacing w:line="276" w:lineRule="auto"/>
        <w:jc w:val="center"/>
        <w:rPr>
          <w:spacing w:val="9"/>
          <w:szCs w:val="21"/>
        </w:rPr>
      </w:pPr>
      <w:r>
        <w:rPr>
          <w:rFonts w:eastAsia="黑体"/>
          <w:spacing w:val="3"/>
          <w:szCs w:val="21"/>
        </w:rPr>
        <w:t xml:space="preserve">图 </w:t>
      </w:r>
      <w:r>
        <w:rPr>
          <w:rFonts w:eastAsia="Times New Roman"/>
          <w:spacing w:val="3"/>
          <w:szCs w:val="21"/>
        </w:rPr>
        <w:t>1</w:t>
      </w:r>
      <w:r>
        <w:rPr>
          <w:rFonts w:eastAsia="Times New Roman"/>
          <w:spacing w:val="49"/>
          <w:szCs w:val="21"/>
        </w:rPr>
        <w:t xml:space="preserve"> </w:t>
      </w:r>
      <w:r>
        <w:rPr>
          <w:rFonts w:eastAsia="Times New Roman"/>
          <w:spacing w:val="3"/>
          <w:szCs w:val="21"/>
        </w:rPr>
        <w:t>**</w:t>
      </w:r>
      <w:r>
        <w:rPr>
          <w:rFonts w:eastAsia="黑体"/>
          <w:spacing w:val="3"/>
          <w:szCs w:val="21"/>
        </w:rPr>
        <w:t>产品碳足迹量化系统边界图</w:t>
      </w:r>
    </w:p>
    <w:tbl>
      <w:tblPr>
        <w:tblStyle w:val="3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1"/>
        <w:gridCol w:w="485"/>
        <w:gridCol w:w="485"/>
        <w:gridCol w:w="541"/>
        <w:gridCol w:w="555"/>
        <w:gridCol w:w="485"/>
        <w:gridCol w:w="473"/>
        <w:gridCol w:w="486"/>
        <w:gridCol w:w="514"/>
        <w:gridCol w:w="486"/>
        <w:gridCol w:w="620"/>
        <w:gridCol w:w="584"/>
        <w:gridCol w:w="534"/>
        <w:gridCol w:w="473"/>
        <w:gridCol w:w="506"/>
        <w:gridCol w:w="486"/>
        <w:gridCol w:w="1680"/>
      </w:tblGrid>
      <w:tr w14:paraId="02CA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154" w:type="pct"/>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A3D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建筑</w:t>
            </w:r>
            <w:r>
              <w:rPr>
                <w:rFonts w:hint="default" w:ascii="Times New Roman" w:hAnsi="Times New Roman" w:cs="Times New Roman"/>
                <w:i w:val="0"/>
                <w:iCs w:val="0"/>
                <w:color w:val="000000"/>
                <w:kern w:val="0"/>
                <w:sz w:val="22"/>
                <w:szCs w:val="22"/>
                <w:u w:val="none"/>
                <w:lang w:val="en-US" w:eastAsia="zh-CN" w:bidi="ar"/>
              </w:rPr>
              <w:t>产品</w:t>
            </w:r>
            <w:r>
              <w:rPr>
                <w:rFonts w:hint="default" w:ascii="Times New Roman" w:hAnsi="Times New Roman" w:eastAsia="宋体" w:cs="Times New Roman"/>
                <w:i w:val="0"/>
                <w:iCs w:val="0"/>
                <w:color w:val="000000"/>
                <w:kern w:val="0"/>
                <w:sz w:val="22"/>
                <w:szCs w:val="22"/>
                <w:u w:val="none"/>
                <w:lang w:val="en-US" w:eastAsia="zh-CN" w:bidi="ar"/>
              </w:rPr>
              <w:t>生命周期</w:t>
            </w:r>
            <w:r>
              <w:rPr>
                <w:rFonts w:hint="default" w:ascii="Times New Roman" w:hAnsi="Times New Roman" w:cs="Times New Roman"/>
                <w:i w:val="0"/>
                <w:iCs w:val="0"/>
                <w:color w:val="000000"/>
                <w:kern w:val="0"/>
                <w:sz w:val="22"/>
                <w:szCs w:val="22"/>
                <w:u w:val="none"/>
                <w:lang w:val="en-US" w:eastAsia="zh-CN" w:bidi="ar"/>
              </w:rPr>
              <w:t>阶段</w:t>
            </w:r>
            <w:r>
              <w:rPr>
                <w:rFonts w:hint="default" w:ascii="Times New Roman" w:hAnsi="Times New Roman" w:eastAsia="宋体" w:cs="Times New Roman"/>
                <w:i w:val="0"/>
                <w:iCs w:val="0"/>
                <w:color w:val="000000"/>
                <w:kern w:val="0"/>
                <w:sz w:val="22"/>
                <w:szCs w:val="22"/>
                <w:u w:val="none"/>
                <w:lang w:val="en-US" w:eastAsia="zh-CN" w:bidi="ar"/>
              </w:rPr>
              <w:t>及系统边界</w:t>
            </w:r>
          </w:p>
        </w:tc>
        <w:tc>
          <w:tcPr>
            <w:tcW w:w="8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A6A8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系统边界外的可选补充信息</w:t>
            </w:r>
          </w:p>
        </w:tc>
      </w:tr>
      <w:tr w14:paraId="6841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4" w:type="pct"/>
            <w:gridSpan w:val="3"/>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30D038A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A1-A3</w:t>
            </w:r>
          </w:p>
        </w:tc>
        <w:tc>
          <w:tcPr>
            <w:tcW w:w="54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116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A4-A5</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C3D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B1-B7</w:t>
            </w:r>
          </w:p>
        </w:tc>
        <w:tc>
          <w:tcPr>
            <w:tcW w:w="9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8DA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C1-C4</w:t>
            </w:r>
          </w:p>
        </w:tc>
        <w:tc>
          <w:tcPr>
            <w:tcW w:w="8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8BDE9">
            <w:pPr>
              <w:jc w:val="center"/>
              <w:rPr>
                <w:rFonts w:hint="default" w:ascii="Times New Roman" w:hAnsi="Times New Roman" w:eastAsia="宋体" w:cs="Times New Roman"/>
                <w:i w:val="0"/>
                <w:iCs w:val="0"/>
                <w:color w:val="000000"/>
                <w:sz w:val="22"/>
                <w:szCs w:val="22"/>
                <w:u w:val="none"/>
              </w:rPr>
            </w:pPr>
          </w:p>
        </w:tc>
      </w:tr>
      <w:tr w14:paraId="743A4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4" w:type="pct"/>
            <w:gridSpan w:val="3"/>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4359B25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生产阶段</w:t>
            </w:r>
          </w:p>
        </w:tc>
        <w:tc>
          <w:tcPr>
            <w:tcW w:w="54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988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施工阶段</w:t>
            </w:r>
          </w:p>
        </w:tc>
        <w:tc>
          <w:tcPr>
            <w:tcW w:w="1831"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2EA0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使用阶段</w:t>
            </w:r>
          </w:p>
        </w:tc>
        <w:tc>
          <w:tcPr>
            <w:tcW w:w="99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45E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生命末期</w:t>
            </w:r>
          </w:p>
        </w:tc>
        <w:tc>
          <w:tcPr>
            <w:tcW w:w="84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08A4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p>
        </w:tc>
      </w:tr>
      <w:tr w14:paraId="38043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7"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2BED526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3C9C858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noWrap/>
            <w:vAlign w:val="center"/>
          </w:tcPr>
          <w:p w14:paraId="60975ED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C9B7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A4</w:t>
            </w:r>
          </w:p>
        </w:tc>
        <w:tc>
          <w:tcPr>
            <w:tcW w:w="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BF92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A5</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2A8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6CE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474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B3</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02F6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B4</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C74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B5</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212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B6</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476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B7</w:t>
            </w: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B46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5F61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3EF9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B843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p>
        </w:tc>
        <w:tc>
          <w:tcPr>
            <w:tcW w:w="84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20DAF">
            <w:pPr>
              <w:jc w:val="center"/>
              <w:rPr>
                <w:rFonts w:hint="default" w:ascii="Times New Roman" w:hAnsi="Times New Roman" w:eastAsia="宋体" w:cs="Times New Roman"/>
                <w:i w:val="0"/>
                <w:iCs w:val="0"/>
                <w:color w:val="000000"/>
                <w:sz w:val="22"/>
                <w:szCs w:val="22"/>
                <w:u w:val="none"/>
              </w:rPr>
            </w:pPr>
          </w:p>
        </w:tc>
      </w:tr>
      <w:tr w14:paraId="7B08C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2" w:hRule="atLeast"/>
        </w:trPr>
        <w:tc>
          <w:tcPr>
            <w:tcW w:w="287" w:type="pct"/>
            <w:tcBorders>
              <w:top w:val="single" w:color="000000" w:sz="4" w:space="0"/>
              <w:left w:val="single" w:color="auto" w:sz="4" w:space="0"/>
              <w:bottom w:val="single" w:color="000000" w:sz="4" w:space="0"/>
              <w:right w:val="single" w:color="000000" w:sz="4" w:space="0"/>
            </w:tcBorders>
            <w:shd w:val="clear" w:color="auto" w:fill="EBF1DE" w:themeFill="accent3" w:themeFillTint="32"/>
            <w:vAlign w:val="center"/>
          </w:tcPr>
          <w:p w14:paraId="026B950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原料</w:t>
            </w:r>
            <w:r>
              <w:rPr>
                <w:rFonts w:hint="default" w:ascii="Times New Roman" w:hAnsi="Times New Roman" w:cs="Times New Roman"/>
                <w:i w:val="0"/>
                <w:iCs w:val="0"/>
                <w:color w:val="000000"/>
                <w:kern w:val="0"/>
                <w:sz w:val="22"/>
                <w:szCs w:val="22"/>
                <w:u w:val="none"/>
                <w:lang w:val="en-US" w:eastAsia="zh-CN" w:bidi="ar"/>
              </w:rPr>
              <w:t>/能源</w:t>
            </w:r>
            <w:r>
              <w:rPr>
                <w:rFonts w:hint="default" w:ascii="Times New Roman" w:hAnsi="Times New Roman" w:eastAsia="宋体" w:cs="Times New Roman"/>
                <w:i w:val="0"/>
                <w:iCs w:val="0"/>
                <w:color w:val="000000"/>
                <w:kern w:val="0"/>
                <w:sz w:val="22"/>
                <w:szCs w:val="22"/>
                <w:u w:val="none"/>
                <w:lang w:val="en-US" w:eastAsia="zh-CN" w:bidi="ar"/>
              </w:rPr>
              <w:t>获取</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vAlign w:val="center"/>
          </w:tcPr>
          <w:p w14:paraId="518A9C9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运输</w:t>
            </w:r>
          </w:p>
        </w:tc>
        <w:tc>
          <w:tcPr>
            <w:tcW w:w="243" w:type="pct"/>
            <w:tcBorders>
              <w:top w:val="single" w:color="000000" w:sz="4" w:space="0"/>
              <w:left w:val="single" w:color="000000" w:sz="4" w:space="0"/>
              <w:bottom w:val="single" w:color="000000" w:sz="4" w:space="0"/>
              <w:right w:val="single" w:color="000000" w:sz="4" w:space="0"/>
            </w:tcBorders>
            <w:shd w:val="clear" w:color="auto" w:fill="EBF1DE" w:themeFill="accent3" w:themeFillTint="32"/>
            <w:vAlign w:val="center"/>
          </w:tcPr>
          <w:p w14:paraId="7C6167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lang w:val="en-US" w:eastAsia="zh-CN"/>
              </w:rPr>
            </w:pPr>
            <w:r>
              <w:rPr>
                <w:rFonts w:hint="default" w:ascii="Times New Roman" w:hAnsi="Times New Roman" w:cs="Times New Roman"/>
                <w:b w:val="0"/>
                <w:bCs w:val="0"/>
                <w:i w:val="0"/>
                <w:iCs w:val="0"/>
                <w:color w:val="000000"/>
                <w:sz w:val="22"/>
                <w:szCs w:val="22"/>
                <w:u w:val="none"/>
                <w:lang w:val="en-US" w:eastAsia="zh-CN"/>
              </w:rPr>
              <w:t>熟料/水泥生产</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2AA2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建材产品</w:t>
            </w:r>
            <w:r>
              <w:rPr>
                <w:rFonts w:hint="default" w:ascii="Times New Roman" w:hAnsi="Times New Roman" w:eastAsia="宋体" w:cs="Times New Roman"/>
                <w:i w:val="0"/>
                <w:iCs w:val="0"/>
                <w:color w:val="000000"/>
                <w:kern w:val="0"/>
                <w:sz w:val="22"/>
                <w:szCs w:val="22"/>
                <w:u w:val="none"/>
                <w:lang w:val="en-US" w:eastAsia="zh-CN" w:bidi="ar"/>
              </w:rPr>
              <w:t>运输</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6458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安装过程</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198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建材产品</w:t>
            </w:r>
            <w:r>
              <w:rPr>
                <w:rFonts w:hint="default" w:ascii="Times New Roman" w:hAnsi="Times New Roman" w:eastAsia="宋体" w:cs="Times New Roman"/>
                <w:i w:val="0"/>
                <w:iCs w:val="0"/>
                <w:color w:val="000000"/>
                <w:kern w:val="0"/>
                <w:sz w:val="22"/>
                <w:szCs w:val="22"/>
                <w:u w:val="none"/>
                <w:lang w:val="en-US" w:eastAsia="zh-CN" w:bidi="ar"/>
              </w:rPr>
              <w:t>使用</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E83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维护</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032CC">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维修</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D53A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置换</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6B4E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翻新</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BA0B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cs="Times New Roman"/>
                <w:i w:val="0"/>
                <w:iCs w:val="0"/>
                <w:color w:val="000000"/>
                <w:kern w:val="0"/>
                <w:sz w:val="22"/>
                <w:szCs w:val="22"/>
                <w:u w:val="none"/>
                <w:lang w:val="en-US" w:eastAsia="zh-CN" w:bidi="ar"/>
              </w:rPr>
              <w:t>运行期间用能</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85C6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cs="Times New Roman"/>
                <w:i w:val="0"/>
                <w:iCs w:val="0"/>
                <w:color w:val="000000"/>
                <w:kern w:val="0"/>
                <w:sz w:val="22"/>
                <w:szCs w:val="22"/>
                <w:u w:val="none"/>
                <w:lang w:val="en-US" w:eastAsia="zh-CN" w:bidi="ar"/>
              </w:rPr>
              <w:t>运行期间用水</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485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拆解/拆除</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F3B1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运输</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3A92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废物处置</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28C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处理</w:t>
            </w:r>
          </w:p>
        </w:tc>
        <w:tc>
          <w:tcPr>
            <w:tcW w:w="8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D435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系统边界外的</w:t>
            </w:r>
            <w:r>
              <w:rPr>
                <w:rFonts w:hint="default" w:ascii="Times New Roman" w:hAnsi="Times New Roman" w:cs="Times New Roman"/>
                <w:i w:val="0"/>
                <w:iCs w:val="0"/>
                <w:color w:val="000000"/>
                <w:kern w:val="0"/>
                <w:sz w:val="22"/>
                <w:szCs w:val="22"/>
                <w:u w:val="none"/>
                <w:lang w:val="en-US" w:eastAsia="zh-CN" w:bidi="ar"/>
              </w:rPr>
              <w:t>由</w:t>
            </w:r>
            <w:r>
              <w:rPr>
                <w:rFonts w:hint="default" w:ascii="Times New Roman" w:hAnsi="Times New Roman" w:eastAsia="宋体" w:cs="Times New Roman"/>
                <w:i w:val="0"/>
                <w:iCs w:val="0"/>
                <w:color w:val="000000"/>
                <w:kern w:val="0"/>
                <w:sz w:val="22"/>
                <w:szCs w:val="22"/>
                <w:u w:val="none"/>
                <w:lang w:val="en-US" w:eastAsia="zh-CN" w:bidi="ar"/>
              </w:rPr>
              <w:t>再利用</w:t>
            </w:r>
            <w:r>
              <w:rPr>
                <w:rFonts w:hint="default" w:ascii="Times New Roman" w:hAnsi="Times New Roman" w:cs="Times New Roman"/>
                <w:i w:val="0"/>
                <w:iCs w:val="0"/>
                <w:color w:val="000000"/>
                <w:kern w:val="0"/>
                <w:sz w:val="22"/>
                <w:szCs w:val="22"/>
                <w:u w:val="none"/>
                <w:lang w:val="en-US" w:eastAsia="zh-CN" w:bidi="ar"/>
              </w:rPr>
              <w:t>、再循环和</w:t>
            </w:r>
            <w:r>
              <w:rPr>
                <w:rFonts w:hint="default" w:ascii="Times New Roman" w:hAnsi="Times New Roman" w:eastAsia="宋体" w:cs="Times New Roman"/>
                <w:i w:val="0"/>
                <w:iCs w:val="0"/>
                <w:color w:val="000000"/>
                <w:kern w:val="0"/>
                <w:sz w:val="22"/>
                <w:szCs w:val="22"/>
                <w:u w:val="none"/>
                <w:lang w:val="en-US" w:eastAsia="zh-CN" w:bidi="ar"/>
              </w:rPr>
              <w:t>回收</w:t>
            </w:r>
            <w:r>
              <w:rPr>
                <w:rFonts w:hint="default" w:ascii="Times New Roman" w:hAnsi="Times New Roman" w:cs="Times New Roman"/>
                <w:i w:val="0"/>
                <w:iCs w:val="0"/>
                <w:color w:val="000000"/>
                <w:kern w:val="0"/>
                <w:sz w:val="22"/>
                <w:szCs w:val="22"/>
                <w:u w:val="none"/>
                <w:lang w:val="en-US" w:eastAsia="zh-CN" w:bidi="ar"/>
              </w:rPr>
              <w:t>相关的潜在效益</w:t>
            </w:r>
          </w:p>
        </w:tc>
      </w:tr>
      <w:tr w14:paraId="186BF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287" w:type="pct"/>
            <w:tcBorders>
              <w:top w:val="single" w:color="000000" w:sz="4" w:space="0"/>
              <w:left w:val="single" w:color="auto" w:sz="4" w:space="0"/>
              <w:bottom w:val="single" w:color="auto" w:sz="4" w:space="0"/>
              <w:right w:val="single" w:color="000000" w:sz="4" w:space="0"/>
            </w:tcBorders>
            <w:shd w:val="clear" w:color="auto" w:fill="EBF1DE" w:themeFill="accent3" w:themeFillTint="32"/>
            <w:vAlign w:val="center"/>
          </w:tcPr>
          <w:p w14:paraId="5FD2C80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3" w:type="pct"/>
            <w:tcBorders>
              <w:top w:val="single" w:color="000000" w:sz="4" w:space="0"/>
              <w:left w:val="single" w:color="000000" w:sz="4" w:space="0"/>
              <w:bottom w:val="single" w:color="auto" w:sz="4" w:space="0"/>
              <w:right w:val="single" w:color="000000" w:sz="4" w:space="0"/>
            </w:tcBorders>
            <w:shd w:val="clear" w:color="auto" w:fill="EBF1DE" w:themeFill="accent3" w:themeFillTint="32"/>
            <w:vAlign w:val="center"/>
          </w:tcPr>
          <w:p w14:paraId="7DA45D2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3" w:type="pct"/>
            <w:tcBorders>
              <w:top w:val="single" w:color="000000" w:sz="4" w:space="0"/>
              <w:left w:val="single" w:color="000000" w:sz="4" w:space="0"/>
              <w:bottom w:val="single" w:color="auto" w:sz="4" w:space="0"/>
              <w:right w:val="single" w:color="000000" w:sz="4" w:space="0"/>
            </w:tcBorders>
            <w:shd w:val="clear" w:color="auto" w:fill="EBF1DE" w:themeFill="accent3" w:themeFillTint="32"/>
            <w:vAlign w:val="center"/>
          </w:tcPr>
          <w:p w14:paraId="16BB394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w:t>
            </w:r>
          </w:p>
        </w:tc>
        <w:tc>
          <w:tcPr>
            <w:tcW w:w="271" w:type="pct"/>
            <w:tcBorders>
              <w:top w:val="single" w:color="000000" w:sz="4" w:space="0"/>
              <w:left w:val="single" w:color="000000" w:sz="4" w:space="0"/>
              <w:bottom w:val="single" w:color="auto" w:sz="4" w:space="0"/>
              <w:right w:val="single" w:color="000000" w:sz="4" w:space="0"/>
            </w:tcBorders>
            <w:shd w:val="clear" w:color="auto" w:fill="auto"/>
            <w:vAlign w:val="center"/>
          </w:tcPr>
          <w:p w14:paraId="553EDC3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77" w:type="pct"/>
            <w:tcBorders>
              <w:top w:val="single" w:color="000000" w:sz="4" w:space="0"/>
              <w:left w:val="single" w:color="000000" w:sz="4" w:space="0"/>
              <w:bottom w:val="single" w:color="auto" w:sz="4" w:space="0"/>
              <w:right w:val="single" w:color="000000" w:sz="4" w:space="0"/>
            </w:tcBorders>
            <w:shd w:val="clear" w:color="auto" w:fill="auto"/>
            <w:vAlign w:val="center"/>
          </w:tcPr>
          <w:p w14:paraId="63CF3C7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4" w:type="pct"/>
            <w:tcBorders>
              <w:top w:val="single" w:color="000000" w:sz="4" w:space="0"/>
              <w:left w:val="single" w:color="000000" w:sz="4" w:space="0"/>
              <w:bottom w:val="single" w:color="auto" w:sz="4" w:space="0"/>
              <w:right w:val="single" w:color="000000" w:sz="4" w:space="0"/>
            </w:tcBorders>
            <w:shd w:val="clear" w:color="auto" w:fill="auto"/>
            <w:vAlign w:val="center"/>
          </w:tcPr>
          <w:p w14:paraId="3497E50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7" w:type="pct"/>
            <w:tcBorders>
              <w:top w:val="single" w:color="000000" w:sz="4" w:space="0"/>
              <w:left w:val="single" w:color="000000" w:sz="4" w:space="0"/>
              <w:bottom w:val="single" w:color="auto" w:sz="4" w:space="0"/>
              <w:right w:val="single" w:color="000000" w:sz="4" w:space="0"/>
            </w:tcBorders>
            <w:shd w:val="clear" w:color="auto" w:fill="auto"/>
            <w:vAlign w:val="center"/>
          </w:tcPr>
          <w:p w14:paraId="249F630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4" w:type="pct"/>
            <w:tcBorders>
              <w:top w:val="single" w:color="000000" w:sz="4" w:space="0"/>
              <w:left w:val="single" w:color="000000" w:sz="4" w:space="0"/>
              <w:bottom w:val="single" w:color="auto" w:sz="4" w:space="0"/>
              <w:right w:val="single" w:color="000000" w:sz="4" w:space="0"/>
            </w:tcBorders>
            <w:shd w:val="clear" w:color="auto" w:fill="auto"/>
            <w:vAlign w:val="center"/>
          </w:tcPr>
          <w:p w14:paraId="4BBAC28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58" w:type="pct"/>
            <w:tcBorders>
              <w:top w:val="single" w:color="000000" w:sz="4" w:space="0"/>
              <w:left w:val="single" w:color="000000" w:sz="4" w:space="0"/>
              <w:bottom w:val="single" w:color="auto" w:sz="4" w:space="0"/>
              <w:right w:val="single" w:color="000000" w:sz="4" w:space="0"/>
            </w:tcBorders>
            <w:shd w:val="clear" w:color="auto" w:fill="auto"/>
            <w:vAlign w:val="center"/>
          </w:tcPr>
          <w:p w14:paraId="40B250B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44" w:type="pct"/>
            <w:tcBorders>
              <w:top w:val="single" w:color="000000" w:sz="4" w:space="0"/>
              <w:left w:val="single" w:color="000000" w:sz="4" w:space="0"/>
              <w:bottom w:val="single" w:color="auto" w:sz="4" w:space="0"/>
              <w:right w:val="single" w:color="000000" w:sz="4" w:space="0"/>
            </w:tcBorders>
            <w:shd w:val="clear" w:color="auto" w:fill="auto"/>
            <w:vAlign w:val="center"/>
          </w:tcPr>
          <w:p w14:paraId="0B88E5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311" w:type="pct"/>
            <w:tcBorders>
              <w:top w:val="single" w:color="000000" w:sz="4" w:space="0"/>
              <w:left w:val="single" w:color="000000" w:sz="4" w:space="0"/>
              <w:bottom w:val="single" w:color="auto" w:sz="4" w:space="0"/>
              <w:right w:val="single" w:color="000000" w:sz="4" w:space="0"/>
            </w:tcBorders>
            <w:shd w:val="clear" w:color="auto" w:fill="auto"/>
            <w:vAlign w:val="center"/>
          </w:tcPr>
          <w:p w14:paraId="525B5A5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auto" w:sz="4" w:space="0"/>
              <w:right w:val="single" w:color="000000" w:sz="4" w:space="0"/>
            </w:tcBorders>
            <w:shd w:val="clear" w:color="auto" w:fill="auto"/>
            <w:vAlign w:val="center"/>
          </w:tcPr>
          <w:p w14:paraId="0678B1B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68" w:type="pct"/>
            <w:tcBorders>
              <w:top w:val="single" w:color="000000" w:sz="4" w:space="0"/>
              <w:left w:val="single" w:color="000000" w:sz="4" w:space="0"/>
              <w:bottom w:val="single" w:color="auto" w:sz="4" w:space="0"/>
              <w:right w:val="single" w:color="000000" w:sz="4" w:space="0"/>
            </w:tcBorders>
            <w:shd w:val="clear" w:color="auto" w:fill="auto"/>
            <w:vAlign w:val="center"/>
          </w:tcPr>
          <w:p w14:paraId="5C4DC87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7" w:type="pct"/>
            <w:tcBorders>
              <w:top w:val="single" w:color="000000" w:sz="4" w:space="0"/>
              <w:left w:val="single" w:color="000000" w:sz="4" w:space="0"/>
              <w:bottom w:val="single" w:color="auto" w:sz="4" w:space="0"/>
              <w:right w:val="single" w:color="000000" w:sz="4" w:space="0"/>
            </w:tcBorders>
            <w:shd w:val="clear" w:color="auto" w:fill="auto"/>
            <w:vAlign w:val="center"/>
          </w:tcPr>
          <w:p w14:paraId="494F7EC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54" w:type="pct"/>
            <w:tcBorders>
              <w:top w:val="single" w:color="000000" w:sz="4" w:space="0"/>
              <w:left w:val="single" w:color="000000" w:sz="4" w:space="0"/>
              <w:bottom w:val="single" w:color="auto" w:sz="4" w:space="0"/>
              <w:right w:val="single" w:color="000000" w:sz="4" w:space="0"/>
            </w:tcBorders>
            <w:shd w:val="clear" w:color="auto" w:fill="auto"/>
            <w:vAlign w:val="center"/>
          </w:tcPr>
          <w:p w14:paraId="5A4598D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37" w:type="pct"/>
            <w:tcBorders>
              <w:top w:val="single" w:color="000000" w:sz="4" w:space="0"/>
              <w:left w:val="single" w:color="000000" w:sz="4" w:space="0"/>
              <w:bottom w:val="single" w:color="auto" w:sz="4" w:space="0"/>
              <w:right w:val="single" w:color="000000" w:sz="4" w:space="0"/>
            </w:tcBorders>
            <w:shd w:val="clear" w:color="auto" w:fill="auto"/>
            <w:vAlign w:val="center"/>
          </w:tcPr>
          <w:p w14:paraId="078A2F5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845" w:type="pct"/>
            <w:tcBorders>
              <w:top w:val="single" w:color="000000" w:sz="4" w:space="0"/>
              <w:left w:val="single" w:color="000000" w:sz="4" w:space="0"/>
              <w:bottom w:val="single" w:color="auto" w:sz="4" w:space="0"/>
              <w:right w:val="single" w:color="000000" w:sz="4" w:space="0"/>
            </w:tcBorders>
            <w:shd w:val="clear" w:color="auto" w:fill="auto"/>
            <w:vAlign w:val="center"/>
          </w:tcPr>
          <w:p w14:paraId="092CEF7C">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r>
    </w:tbl>
    <w:p w14:paraId="575F3667">
      <w:pPr>
        <w:spacing w:line="276" w:lineRule="auto"/>
        <w:jc w:val="center"/>
        <w:rPr>
          <w:rFonts w:eastAsia="黑体"/>
          <w:szCs w:val="21"/>
        </w:rPr>
      </w:pPr>
    </w:p>
    <w:p w14:paraId="7AC1A242">
      <w:pPr>
        <w:spacing w:after="156" w:afterLines="50" w:line="276" w:lineRule="auto"/>
        <w:rPr>
          <w:rFonts w:eastAsia="黑体"/>
          <w:spacing w:val="-9"/>
          <w:sz w:val="22"/>
          <w:szCs w:val="22"/>
        </w:rPr>
      </w:pPr>
      <w:r>
        <w:rPr>
          <w:rFonts w:eastAsia="黑体"/>
          <w:spacing w:val="-9"/>
          <w:sz w:val="22"/>
          <w:szCs w:val="22"/>
        </w:rPr>
        <w:t>3、取舍准则</w:t>
      </w:r>
    </w:p>
    <w:p w14:paraId="7F402F83">
      <w:pPr>
        <w:spacing w:line="276" w:lineRule="auto"/>
        <w:ind w:firstLine="456" w:firstLineChars="200"/>
        <w:rPr>
          <w:spacing w:val="9"/>
          <w:szCs w:val="21"/>
        </w:rPr>
      </w:pPr>
      <w:r>
        <w:rPr>
          <w:spacing w:val="9"/>
          <w:szCs w:val="21"/>
        </w:rPr>
        <w:t>采用的取舍准则以</w:t>
      </w:r>
      <w:r>
        <w:rPr>
          <w:spacing w:val="9"/>
          <w:szCs w:val="21"/>
          <w:u w:val="single"/>
        </w:rPr>
        <w:t xml:space="preserve">                         </w:t>
      </w:r>
      <w:r>
        <w:rPr>
          <w:spacing w:val="9"/>
          <w:szCs w:val="21"/>
        </w:rPr>
        <w:t>为依据，具体规则如下：</w:t>
      </w:r>
    </w:p>
    <w:p w14:paraId="753A11AA">
      <w:pPr>
        <w:spacing w:after="156" w:afterLines="50" w:line="276" w:lineRule="auto"/>
        <w:rPr>
          <w:rFonts w:eastAsia="黑体"/>
          <w:spacing w:val="-9"/>
          <w:sz w:val="22"/>
          <w:szCs w:val="22"/>
        </w:rPr>
      </w:pPr>
      <w:r>
        <w:rPr>
          <w:rFonts w:eastAsia="黑体"/>
          <w:spacing w:val="-9"/>
          <w:sz w:val="22"/>
          <w:szCs w:val="22"/>
        </w:rPr>
        <w:t>4、时间范围</w:t>
      </w:r>
    </w:p>
    <w:p w14:paraId="3560BB5E">
      <w:pPr>
        <w:spacing w:line="276" w:lineRule="auto"/>
        <w:ind w:firstLine="456" w:firstLineChars="200"/>
        <w:rPr>
          <w:spacing w:val="9"/>
          <w:szCs w:val="21"/>
        </w:rPr>
      </w:pPr>
      <w:r>
        <w:rPr>
          <w:spacing w:val="9"/>
          <w:szCs w:val="21"/>
          <w:u w:val="single"/>
        </w:rPr>
        <w:t xml:space="preserve">       </w:t>
      </w:r>
      <w:r>
        <w:rPr>
          <w:spacing w:val="9"/>
          <w:szCs w:val="21"/>
        </w:rPr>
        <w:t>年度。</w:t>
      </w:r>
    </w:p>
    <w:p w14:paraId="4AAD8B2F">
      <w:pPr>
        <w:spacing w:before="156" w:beforeLines="50" w:after="156" w:afterLines="50" w:line="276" w:lineRule="auto"/>
        <w:rPr>
          <w:rFonts w:eastAsia="黑体"/>
          <w:spacing w:val="-17"/>
          <w:sz w:val="24"/>
        </w:rPr>
      </w:pPr>
      <w:r>
        <w:rPr>
          <w:rFonts w:eastAsia="黑体"/>
          <w:spacing w:val="-17"/>
          <w:sz w:val="24"/>
        </w:rPr>
        <w:t>四、清单分析</w:t>
      </w:r>
    </w:p>
    <w:p w14:paraId="58F55E67">
      <w:pPr>
        <w:spacing w:after="156" w:afterLines="50" w:line="276" w:lineRule="auto"/>
        <w:rPr>
          <w:rFonts w:eastAsia="黑体"/>
          <w:spacing w:val="-9"/>
          <w:sz w:val="22"/>
          <w:szCs w:val="22"/>
        </w:rPr>
      </w:pPr>
      <w:r>
        <w:rPr>
          <w:rFonts w:eastAsia="黑体"/>
          <w:spacing w:val="-9"/>
          <w:sz w:val="22"/>
          <w:szCs w:val="22"/>
        </w:rPr>
        <w:t>1、数据来源说明</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4"/>
        <w:gridCol w:w="2942"/>
      </w:tblGrid>
      <w:tr w14:paraId="07DEA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2A3A136D">
            <w:pPr>
              <w:spacing w:line="276" w:lineRule="auto"/>
              <w:jc w:val="distribute"/>
              <w:rPr>
                <w:rFonts w:ascii="宋体"/>
                <w:szCs w:val="21"/>
              </w:rPr>
            </w:pPr>
            <w:r>
              <w:rPr>
                <w:rFonts w:ascii="宋体"/>
                <w:szCs w:val="21"/>
              </w:rPr>
              <w:t>初级数据：</w:t>
            </w:r>
          </w:p>
        </w:tc>
        <w:tc>
          <w:tcPr>
            <w:tcW w:w="2942" w:type="dxa"/>
            <w:tcBorders>
              <w:bottom w:val="single" w:color="auto" w:sz="4" w:space="0"/>
            </w:tcBorders>
          </w:tcPr>
          <w:p w14:paraId="198BA357">
            <w:pPr>
              <w:tabs>
                <w:tab w:val="left" w:pos="4258"/>
              </w:tabs>
              <w:spacing w:line="276" w:lineRule="auto"/>
              <w:rPr>
                <w:rFonts w:ascii="宋体"/>
                <w:spacing w:val="-12"/>
                <w:szCs w:val="21"/>
              </w:rPr>
            </w:pPr>
          </w:p>
        </w:tc>
      </w:tr>
      <w:tr w14:paraId="70DEE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4C1F58F2">
            <w:pPr>
              <w:spacing w:line="276" w:lineRule="auto"/>
              <w:jc w:val="distribute"/>
              <w:rPr>
                <w:rFonts w:ascii="宋体"/>
                <w:szCs w:val="21"/>
              </w:rPr>
            </w:pPr>
            <w:r>
              <w:rPr>
                <w:rFonts w:ascii="宋体"/>
                <w:spacing w:val="-14"/>
                <w:szCs w:val="21"/>
              </w:rPr>
              <w:t>次级数据</w:t>
            </w:r>
            <w:r>
              <w:rPr>
                <w:rFonts w:ascii="宋体"/>
                <w:szCs w:val="21"/>
              </w:rPr>
              <w:t>：</w:t>
            </w:r>
          </w:p>
        </w:tc>
        <w:tc>
          <w:tcPr>
            <w:tcW w:w="2942" w:type="dxa"/>
            <w:tcBorders>
              <w:top w:val="single" w:color="auto" w:sz="4" w:space="0"/>
              <w:bottom w:val="single" w:color="auto" w:sz="4" w:space="0"/>
            </w:tcBorders>
          </w:tcPr>
          <w:p w14:paraId="6012645F">
            <w:pPr>
              <w:tabs>
                <w:tab w:val="left" w:pos="4258"/>
              </w:tabs>
              <w:spacing w:line="276" w:lineRule="auto"/>
              <w:rPr>
                <w:rFonts w:ascii="宋体"/>
                <w:szCs w:val="21"/>
                <w:u w:val="single"/>
              </w:rPr>
            </w:pPr>
          </w:p>
        </w:tc>
      </w:tr>
    </w:tbl>
    <w:p w14:paraId="1DA99FF0">
      <w:pPr>
        <w:spacing w:after="156" w:afterLines="50" w:line="276" w:lineRule="auto"/>
        <w:rPr>
          <w:rFonts w:eastAsia="黑体"/>
          <w:spacing w:val="-9"/>
          <w:sz w:val="22"/>
          <w:szCs w:val="22"/>
        </w:rPr>
      </w:pPr>
      <w:r>
        <w:rPr>
          <w:rFonts w:eastAsia="黑体"/>
          <w:spacing w:val="-9"/>
          <w:sz w:val="22"/>
          <w:szCs w:val="22"/>
        </w:rPr>
        <w:t>2、分配原则与程序</w:t>
      </w:r>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44"/>
        <w:gridCol w:w="2942"/>
      </w:tblGrid>
      <w:tr w14:paraId="775BC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78AD7B82">
            <w:pPr>
              <w:spacing w:line="276" w:lineRule="auto"/>
              <w:jc w:val="distribute"/>
              <w:rPr>
                <w:rFonts w:ascii="宋体"/>
                <w:szCs w:val="21"/>
              </w:rPr>
            </w:pPr>
            <w:r>
              <w:rPr>
                <w:rFonts w:ascii="宋体"/>
                <w:szCs w:val="21"/>
              </w:rPr>
              <w:t>分配依据：</w:t>
            </w:r>
          </w:p>
        </w:tc>
        <w:tc>
          <w:tcPr>
            <w:tcW w:w="2942" w:type="dxa"/>
            <w:tcBorders>
              <w:bottom w:val="single" w:color="auto" w:sz="4" w:space="0"/>
            </w:tcBorders>
          </w:tcPr>
          <w:p w14:paraId="531DBEAB">
            <w:pPr>
              <w:tabs>
                <w:tab w:val="left" w:pos="4258"/>
              </w:tabs>
              <w:spacing w:line="276" w:lineRule="auto"/>
              <w:rPr>
                <w:rFonts w:ascii="宋体"/>
                <w:spacing w:val="-12"/>
                <w:szCs w:val="21"/>
              </w:rPr>
            </w:pPr>
          </w:p>
        </w:tc>
      </w:tr>
      <w:tr w14:paraId="3A915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44" w:type="dxa"/>
            <w:vAlign w:val="center"/>
          </w:tcPr>
          <w:p w14:paraId="460278AF">
            <w:pPr>
              <w:spacing w:line="276" w:lineRule="auto"/>
              <w:jc w:val="distribute"/>
              <w:rPr>
                <w:rFonts w:ascii="宋体"/>
                <w:szCs w:val="21"/>
              </w:rPr>
            </w:pPr>
            <w:r>
              <w:rPr>
                <w:rFonts w:ascii="宋体"/>
                <w:spacing w:val="-14"/>
                <w:szCs w:val="21"/>
              </w:rPr>
              <w:t>分配程序</w:t>
            </w:r>
            <w:r>
              <w:rPr>
                <w:rFonts w:ascii="宋体"/>
                <w:szCs w:val="21"/>
              </w:rPr>
              <w:t>：</w:t>
            </w:r>
          </w:p>
        </w:tc>
        <w:tc>
          <w:tcPr>
            <w:tcW w:w="2942" w:type="dxa"/>
            <w:tcBorders>
              <w:top w:val="single" w:color="auto" w:sz="4" w:space="0"/>
              <w:bottom w:val="single" w:color="auto" w:sz="4" w:space="0"/>
            </w:tcBorders>
          </w:tcPr>
          <w:p w14:paraId="42316792">
            <w:pPr>
              <w:tabs>
                <w:tab w:val="left" w:pos="4258"/>
              </w:tabs>
              <w:spacing w:line="276" w:lineRule="auto"/>
              <w:rPr>
                <w:rFonts w:ascii="宋体"/>
                <w:szCs w:val="21"/>
                <w:u w:val="single"/>
              </w:rPr>
            </w:pPr>
          </w:p>
        </w:tc>
      </w:tr>
    </w:tbl>
    <w:p w14:paraId="567C0C53">
      <w:pPr>
        <w:spacing w:line="276" w:lineRule="auto"/>
        <w:ind w:firstLine="456" w:firstLineChars="200"/>
        <w:rPr>
          <w:spacing w:val="9"/>
          <w:szCs w:val="21"/>
        </w:rPr>
      </w:pPr>
      <w:r>
        <w:rPr>
          <w:spacing w:val="9"/>
          <w:szCs w:val="21"/>
        </w:rPr>
        <w:t>具体分配情况如下：</w:t>
      </w:r>
    </w:p>
    <w:p w14:paraId="63F01750">
      <w:pPr>
        <w:spacing w:after="156" w:afterLines="50" w:line="276" w:lineRule="auto"/>
        <w:rPr>
          <w:rFonts w:eastAsia="黑体"/>
          <w:spacing w:val="-9"/>
          <w:sz w:val="22"/>
          <w:szCs w:val="22"/>
        </w:rPr>
      </w:pPr>
      <w:r>
        <w:rPr>
          <w:rFonts w:eastAsia="黑体"/>
          <w:spacing w:val="-9"/>
          <w:sz w:val="22"/>
          <w:szCs w:val="22"/>
        </w:rPr>
        <w:t>3、清单结果及计算</w:t>
      </w:r>
    </w:p>
    <w:p w14:paraId="34F0D172">
      <w:pPr>
        <w:spacing w:line="276" w:lineRule="auto"/>
        <w:ind w:firstLine="456" w:firstLineChars="200"/>
        <w:rPr>
          <w:spacing w:val="9"/>
          <w:szCs w:val="21"/>
        </w:rPr>
      </w:pPr>
      <w:r>
        <w:rPr>
          <w:spacing w:val="9"/>
          <w:szCs w:val="21"/>
        </w:rPr>
        <w:t>生命周期各个阶段碳排放计算说明见表1。</w:t>
      </w:r>
    </w:p>
    <w:p w14:paraId="7177D346">
      <w:pPr>
        <w:spacing w:line="276" w:lineRule="auto"/>
        <w:jc w:val="center"/>
        <w:rPr>
          <w:rFonts w:eastAsia="黑体"/>
          <w:szCs w:val="21"/>
        </w:rPr>
      </w:pPr>
      <w:r>
        <w:rPr>
          <w:rFonts w:eastAsia="黑体"/>
          <w:spacing w:val="2"/>
          <w:szCs w:val="21"/>
        </w:rPr>
        <w:t>表</w:t>
      </w:r>
      <w:r>
        <w:rPr>
          <w:rFonts w:eastAsia="黑体"/>
          <w:spacing w:val="-42"/>
          <w:szCs w:val="21"/>
        </w:rPr>
        <w:t xml:space="preserve"> </w:t>
      </w:r>
      <w:r>
        <w:rPr>
          <w:rFonts w:eastAsia="Times New Roman"/>
          <w:spacing w:val="2"/>
          <w:szCs w:val="21"/>
        </w:rPr>
        <w:t xml:space="preserve">1  </w:t>
      </w:r>
      <w:r>
        <w:rPr>
          <w:rFonts w:eastAsia="Times New Roman"/>
          <w:spacing w:val="3"/>
          <w:szCs w:val="21"/>
        </w:rPr>
        <w:t>**</w:t>
      </w:r>
      <w:r>
        <w:rPr>
          <w:rFonts w:eastAsia="黑体"/>
          <w:spacing w:val="3"/>
          <w:szCs w:val="21"/>
        </w:rPr>
        <w:t>产品</w:t>
      </w:r>
      <w:r>
        <w:rPr>
          <w:rFonts w:eastAsia="黑体"/>
          <w:spacing w:val="2"/>
          <w:szCs w:val="21"/>
        </w:rPr>
        <w:t>生命周期碳排放清单</w:t>
      </w:r>
      <w:r>
        <w:rPr>
          <w:rFonts w:eastAsia="黑体"/>
          <w:spacing w:val="1"/>
          <w:szCs w:val="21"/>
        </w:rPr>
        <w:t>说明</w:t>
      </w:r>
    </w:p>
    <w:tbl>
      <w:tblPr>
        <w:tblStyle w:val="154"/>
        <w:tblW w:w="942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8"/>
        <w:gridCol w:w="1320"/>
        <w:gridCol w:w="1859"/>
        <w:gridCol w:w="2564"/>
        <w:gridCol w:w="2567"/>
      </w:tblGrid>
      <w:tr w14:paraId="6FBBB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2438" w:type="dxa"/>
            <w:gridSpan w:val="2"/>
            <w:vAlign w:val="center"/>
          </w:tcPr>
          <w:p w14:paraId="732E1A27">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生命周期阶段</w:t>
            </w:r>
          </w:p>
        </w:tc>
        <w:tc>
          <w:tcPr>
            <w:tcW w:w="1859" w:type="dxa"/>
            <w:vAlign w:val="center"/>
          </w:tcPr>
          <w:p w14:paraId="5997E067">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活动数据</w:t>
            </w:r>
          </w:p>
        </w:tc>
        <w:tc>
          <w:tcPr>
            <w:tcW w:w="2564" w:type="dxa"/>
            <w:vAlign w:val="center"/>
          </w:tcPr>
          <w:p w14:paraId="336BF576">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排放因子</w:t>
            </w:r>
          </w:p>
        </w:tc>
        <w:tc>
          <w:tcPr>
            <w:tcW w:w="2567" w:type="dxa"/>
            <w:vAlign w:val="center"/>
          </w:tcPr>
          <w:p w14:paraId="194B96A1">
            <w:pPr>
              <w:pStyle w:val="153"/>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温室气体量</w:t>
            </w:r>
          </w:p>
          <w:p w14:paraId="79221D80">
            <w:pPr>
              <w:pStyle w:val="153"/>
              <w:spacing w:line="276" w:lineRule="auto"/>
              <w:jc w:val="center"/>
              <w:rPr>
                <w:rFonts w:ascii="Times New Roman" w:hAnsi="Times New Roman" w:cs="Times New Roman"/>
                <w:sz w:val="21"/>
                <w:szCs w:val="21"/>
                <w:lang w:eastAsia="zh-CN"/>
              </w:rPr>
            </w:pPr>
            <w:r>
              <w:rPr>
                <w:rFonts w:ascii="Times New Roman" w:hAnsi="Times New Roman" w:cs="Times New Roman"/>
                <w:spacing w:val="-3"/>
                <w:sz w:val="21"/>
                <w:szCs w:val="21"/>
                <w:lang w:eastAsia="zh-CN"/>
              </w:rPr>
              <w:t>（</w:t>
            </w:r>
            <w:r>
              <w:rPr>
                <w:rFonts w:ascii="Times New Roman" w:hAnsi="Times New Roman" w:eastAsia="Times New Roman" w:cs="Times New Roman"/>
                <w:spacing w:val="-3"/>
                <w:sz w:val="21"/>
                <w:szCs w:val="21"/>
                <w:lang w:eastAsia="zh-CN"/>
              </w:rPr>
              <w:t>kg/</w:t>
            </w:r>
            <w:r>
              <w:rPr>
                <w:rFonts w:ascii="Times New Roman" w:hAnsi="Times New Roman" w:cs="Times New Roman"/>
                <w:spacing w:val="-3"/>
                <w:sz w:val="21"/>
                <w:szCs w:val="21"/>
                <w:lang w:eastAsia="zh-CN"/>
              </w:rPr>
              <w:t>功能单位或声明单位）</w:t>
            </w:r>
          </w:p>
        </w:tc>
      </w:tr>
      <w:tr w14:paraId="63E7D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jc w:val="center"/>
        </w:trPr>
        <w:tc>
          <w:tcPr>
            <w:tcW w:w="2438" w:type="dxa"/>
            <w:gridSpan w:val="2"/>
            <w:vMerge w:val="restart"/>
            <w:tcBorders>
              <w:bottom w:val="nil"/>
            </w:tcBorders>
            <w:vAlign w:val="center"/>
          </w:tcPr>
          <w:p w14:paraId="3C50C2F3">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rPr>
              <w:t>原材料获取</w:t>
            </w:r>
          </w:p>
        </w:tc>
        <w:tc>
          <w:tcPr>
            <w:tcW w:w="1859" w:type="dxa"/>
            <w:vAlign w:val="center"/>
          </w:tcPr>
          <w:p w14:paraId="1647500E">
            <w:pPr>
              <w:spacing w:line="276" w:lineRule="auto"/>
              <w:jc w:val="center"/>
              <w:rPr>
                <w:szCs w:val="21"/>
              </w:rPr>
            </w:pPr>
          </w:p>
        </w:tc>
        <w:tc>
          <w:tcPr>
            <w:tcW w:w="2564" w:type="dxa"/>
            <w:vAlign w:val="center"/>
          </w:tcPr>
          <w:p w14:paraId="0146DFF6">
            <w:pPr>
              <w:spacing w:line="276" w:lineRule="auto"/>
              <w:jc w:val="center"/>
              <w:rPr>
                <w:szCs w:val="21"/>
              </w:rPr>
            </w:pPr>
          </w:p>
        </w:tc>
        <w:tc>
          <w:tcPr>
            <w:tcW w:w="2567" w:type="dxa"/>
            <w:vAlign w:val="center"/>
          </w:tcPr>
          <w:p w14:paraId="63CD785C">
            <w:pPr>
              <w:spacing w:line="276" w:lineRule="auto"/>
              <w:jc w:val="center"/>
              <w:rPr>
                <w:szCs w:val="21"/>
              </w:rPr>
            </w:pPr>
          </w:p>
        </w:tc>
      </w:tr>
      <w:tr w14:paraId="700641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2438" w:type="dxa"/>
            <w:gridSpan w:val="2"/>
            <w:vMerge w:val="continue"/>
            <w:tcBorders>
              <w:top w:val="nil"/>
              <w:bottom w:val="nil"/>
            </w:tcBorders>
            <w:vAlign w:val="center"/>
          </w:tcPr>
          <w:p w14:paraId="19C2E92B">
            <w:pPr>
              <w:spacing w:line="276" w:lineRule="auto"/>
              <w:jc w:val="center"/>
              <w:rPr>
                <w:szCs w:val="21"/>
              </w:rPr>
            </w:pPr>
          </w:p>
        </w:tc>
        <w:tc>
          <w:tcPr>
            <w:tcW w:w="1859" w:type="dxa"/>
            <w:vAlign w:val="center"/>
          </w:tcPr>
          <w:p w14:paraId="6F3F4895">
            <w:pPr>
              <w:spacing w:line="276" w:lineRule="auto"/>
              <w:jc w:val="center"/>
              <w:rPr>
                <w:szCs w:val="21"/>
              </w:rPr>
            </w:pPr>
          </w:p>
        </w:tc>
        <w:tc>
          <w:tcPr>
            <w:tcW w:w="2564" w:type="dxa"/>
            <w:vAlign w:val="center"/>
          </w:tcPr>
          <w:p w14:paraId="73490078">
            <w:pPr>
              <w:spacing w:line="276" w:lineRule="auto"/>
              <w:jc w:val="center"/>
              <w:rPr>
                <w:szCs w:val="21"/>
              </w:rPr>
            </w:pPr>
          </w:p>
        </w:tc>
        <w:tc>
          <w:tcPr>
            <w:tcW w:w="2567" w:type="dxa"/>
            <w:vAlign w:val="center"/>
          </w:tcPr>
          <w:p w14:paraId="0E871493">
            <w:pPr>
              <w:spacing w:line="276" w:lineRule="auto"/>
              <w:jc w:val="center"/>
              <w:rPr>
                <w:szCs w:val="21"/>
              </w:rPr>
            </w:pPr>
          </w:p>
        </w:tc>
      </w:tr>
      <w:tr w14:paraId="2974D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continue"/>
            <w:tcBorders>
              <w:top w:val="nil"/>
            </w:tcBorders>
            <w:vAlign w:val="center"/>
          </w:tcPr>
          <w:p w14:paraId="297B681B">
            <w:pPr>
              <w:spacing w:line="276" w:lineRule="auto"/>
              <w:jc w:val="center"/>
              <w:rPr>
                <w:szCs w:val="21"/>
              </w:rPr>
            </w:pPr>
          </w:p>
        </w:tc>
        <w:tc>
          <w:tcPr>
            <w:tcW w:w="1859" w:type="dxa"/>
            <w:vAlign w:val="center"/>
          </w:tcPr>
          <w:p w14:paraId="033E7872">
            <w:pPr>
              <w:spacing w:line="276" w:lineRule="auto"/>
              <w:jc w:val="center"/>
              <w:rPr>
                <w:szCs w:val="21"/>
              </w:rPr>
            </w:pPr>
          </w:p>
        </w:tc>
        <w:tc>
          <w:tcPr>
            <w:tcW w:w="2564" w:type="dxa"/>
            <w:vAlign w:val="center"/>
          </w:tcPr>
          <w:p w14:paraId="5DB5B631">
            <w:pPr>
              <w:spacing w:line="276" w:lineRule="auto"/>
              <w:jc w:val="center"/>
              <w:rPr>
                <w:szCs w:val="21"/>
              </w:rPr>
            </w:pPr>
          </w:p>
        </w:tc>
        <w:tc>
          <w:tcPr>
            <w:tcW w:w="2567" w:type="dxa"/>
            <w:vAlign w:val="center"/>
          </w:tcPr>
          <w:p w14:paraId="26410123">
            <w:pPr>
              <w:spacing w:line="276" w:lineRule="auto"/>
              <w:jc w:val="center"/>
              <w:rPr>
                <w:szCs w:val="21"/>
              </w:rPr>
            </w:pPr>
          </w:p>
        </w:tc>
      </w:tr>
      <w:tr w14:paraId="7600C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restart"/>
            <w:tcBorders>
              <w:bottom w:val="nil"/>
            </w:tcBorders>
            <w:vAlign w:val="center"/>
          </w:tcPr>
          <w:p w14:paraId="484B7A69">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生产</w:t>
            </w:r>
          </w:p>
        </w:tc>
        <w:tc>
          <w:tcPr>
            <w:tcW w:w="1859" w:type="dxa"/>
            <w:vAlign w:val="center"/>
          </w:tcPr>
          <w:p w14:paraId="051B4F72">
            <w:pPr>
              <w:spacing w:line="276" w:lineRule="auto"/>
              <w:jc w:val="center"/>
              <w:rPr>
                <w:szCs w:val="21"/>
              </w:rPr>
            </w:pPr>
          </w:p>
        </w:tc>
        <w:tc>
          <w:tcPr>
            <w:tcW w:w="2564" w:type="dxa"/>
            <w:vAlign w:val="center"/>
          </w:tcPr>
          <w:p w14:paraId="39699E43">
            <w:pPr>
              <w:spacing w:line="276" w:lineRule="auto"/>
              <w:jc w:val="center"/>
              <w:rPr>
                <w:szCs w:val="21"/>
              </w:rPr>
            </w:pPr>
          </w:p>
        </w:tc>
        <w:tc>
          <w:tcPr>
            <w:tcW w:w="2567" w:type="dxa"/>
            <w:vAlign w:val="center"/>
          </w:tcPr>
          <w:p w14:paraId="22C37473">
            <w:pPr>
              <w:spacing w:line="276" w:lineRule="auto"/>
              <w:jc w:val="center"/>
              <w:rPr>
                <w:szCs w:val="21"/>
              </w:rPr>
            </w:pPr>
          </w:p>
        </w:tc>
      </w:tr>
      <w:tr w14:paraId="144AA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continue"/>
            <w:tcBorders>
              <w:top w:val="nil"/>
              <w:bottom w:val="nil"/>
            </w:tcBorders>
            <w:vAlign w:val="center"/>
          </w:tcPr>
          <w:p w14:paraId="3937CFB3">
            <w:pPr>
              <w:spacing w:line="276" w:lineRule="auto"/>
              <w:jc w:val="center"/>
              <w:rPr>
                <w:szCs w:val="21"/>
              </w:rPr>
            </w:pPr>
          </w:p>
        </w:tc>
        <w:tc>
          <w:tcPr>
            <w:tcW w:w="1859" w:type="dxa"/>
            <w:vAlign w:val="center"/>
          </w:tcPr>
          <w:p w14:paraId="3AFFAC03">
            <w:pPr>
              <w:spacing w:line="276" w:lineRule="auto"/>
              <w:jc w:val="center"/>
              <w:rPr>
                <w:szCs w:val="21"/>
              </w:rPr>
            </w:pPr>
          </w:p>
        </w:tc>
        <w:tc>
          <w:tcPr>
            <w:tcW w:w="2564" w:type="dxa"/>
            <w:vAlign w:val="center"/>
          </w:tcPr>
          <w:p w14:paraId="6117977F">
            <w:pPr>
              <w:spacing w:line="276" w:lineRule="auto"/>
              <w:jc w:val="center"/>
              <w:rPr>
                <w:szCs w:val="21"/>
              </w:rPr>
            </w:pPr>
          </w:p>
        </w:tc>
        <w:tc>
          <w:tcPr>
            <w:tcW w:w="2567" w:type="dxa"/>
            <w:vAlign w:val="center"/>
          </w:tcPr>
          <w:p w14:paraId="64BF2518">
            <w:pPr>
              <w:spacing w:line="276" w:lineRule="auto"/>
              <w:jc w:val="center"/>
              <w:rPr>
                <w:szCs w:val="21"/>
              </w:rPr>
            </w:pPr>
          </w:p>
        </w:tc>
      </w:tr>
      <w:tr w14:paraId="1C8E66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continue"/>
            <w:tcBorders>
              <w:top w:val="nil"/>
              <w:bottom w:val="nil"/>
            </w:tcBorders>
            <w:vAlign w:val="center"/>
          </w:tcPr>
          <w:p w14:paraId="23A448BD">
            <w:pPr>
              <w:spacing w:line="276" w:lineRule="auto"/>
              <w:jc w:val="center"/>
              <w:rPr>
                <w:szCs w:val="21"/>
              </w:rPr>
            </w:pPr>
          </w:p>
        </w:tc>
        <w:tc>
          <w:tcPr>
            <w:tcW w:w="1859" w:type="dxa"/>
            <w:vAlign w:val="center"/>
          </w:tcPr>
          <w:p w14:paraId="27791404">
            <w:pPr>
              <w:spacing w:line="276" w:lineRule="auto"/>
              <w:jc w:val="center"/>
              <w:rPr>
                <w:szCs w:val="21"/>
              </w:rPr>
            </w:pPr>
          </w:p>
        </w:tc>
        <w:tc>
          <w:tcPr>
            <w:tcW w:w="2564" w:type="dxa"/>
            <w:vAlign w:val="center"/>
          </w:tcPr>
          <w:p w14:paraId="7863ACF2">
            <w:pPr>
              <w:spacing w:line="276" w:lineRule="auto"/>
              <w:jc w:val="center"/>
              <w:rPr>
                <w:szCs w:val="21"/>
              </w:rPr>
            </w:pPr>
          </w:p>
        </w:tc>
        <w:tc>
          <w:tcPr>
            <w:tcW w:w="2567" w:type="dxa"/>
            <w:vAlign w:val="center"/>
          </w:tcPr>
          <w:p w14:paraId="0CD363E4">
            <w:pPr>
              <w:spacing w:line="276" w:lineRule="auto"/>
              <w:jc w:val="center"/>
              <w:rPr>
                <w:szCs w:val="21"/>
              </w:rPr>
            </w:pPr>
          </w:p>
        </w:tc>
      </w:tr>
      <w:tr w14:paraId="58751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continue"/>
            <w:tcBorders>
              <w:top w:val="nil"/>
            </w:tcBorders>
            <w:vAlign w:val="center"/>
          </w:tcPr>
          <w:p w14:paraId="0FBEADD1">
            <w:pPr>
              <w:spacing w:line="276" w:lineRule="auto"/>
              <w:jc w:val="center"/>
              <w:rPr>
                <w:szCs w:val="21"/>
              </w:rPr>
            </w:pPr>
          </w:p>
        </w:tc>
        <w:tc>
          <w:tcPr>
            <w:tcW w:w="1859" w:type="dxa"/>
            <w:vAlign w:val="center"/>
          </w:tcPr>
          <w:p w14:paraId="76439C23">
            <w:pPr>
              <w:spacing w:line="276" w:lineRule="auto"/>
              <w:jc w:val="center"/>
              <w:rPr>
                <w:szCs w:val="21"/>
              </w:rPr>
            </w:pPr>
          </w:p>
        </w:tc>
        <w:tc>
          <w:tcPr>
            <w:tcW w:w="2564" w:type="dxa"/>
            <w:vAlign w:val="center"/>
          </w:tcPr>
          <w:p w14:paraId="3FDAF2A2">
            <w:pPr>
              <w:spacing w:line="276" w:lineRule="auto"/>
              <w:jc w:val="center"/>
              <w:rPr>
                <w:szCs w:val="21"/>
              </w:rPr>
            </w:pPr>
          </w:p>
        </w:tc>
        <w:tc>
          <w:tcPr>
            <w:tcW w:w="2567" w:type="dxa"/>
            <w:vAlign w:val="center"/>
          </w:tcPr>
          <w:p w14:paraId="35D86F41">
            <w:pPr>
              <w:spacing w:line="276" w:lineRule="auto"/>
              <w:jc w:val="center"/>
              <w:rPr>
                <w:szCs w:val="21"/>
              </w:rPr>
            </w:pPr>
          </w:p>
        </w:tc>
      </w:tr>
      <w:tr w14:paraId="654CC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jc w:val="center"/>
        </w:trPr>
        <w:tc>
          <w:tcPr>
            <w:tcW w:w="1118" w:type="dxa"/>
            <w:vMerge w:val="restart"/>
            <w:tcBorders>
              <w:bottom w:val="nil"/>
            </w:tcBorders>
            <w:vAlign w:val="center"/>
          </w:tcPr>
          <w:p w14:paraId="73A633F4">
            <w:pPr>
              <w:pStyle w:val="153"/>
              <w:spacing w:line="276" w:lineRule="auto"/>
              <w:jc w:val="center"/>
              <w:rPr>
                <w:rFonts w:ascii="Times New Roman" w:hAnsi="Times New Roman" w:cs="Times New Roman"/>
                <w:sz w:val="21"/>
                <w:szCs w:val="21"/>
              </w:rPr>
            </w:pPr>
            <w:r>
              <w:rPr>
                <w:rFonts w:ascii="Times New Roman" w:hAnsi="Times New Roman" w:cs="Times New Roman"/>
                <w:spacing w:val="-7"/>
                <w:sz w:val="21"/>
                <w:szCs w:val="21"/>
              </w:rPr>
              <w:t>运输</w:t>
            </w:r>
            <w:r>
              <w:rPr>
                <w:rFonts w:ascii="Times New Roman" w:hAnsi="Times New Roman" w:eastAsia="Times New Roman" w:cs="Times New Roman"/>
                <w:spacing w:val="-7"/>
                <w:sz w:val="21"/>
                <w:szCs w:val="21"/>
              </w:rPr>
              <w:t>/</w:t>
            </w:r>
            <w:r>
              <w:rPr>
                <w:rFonts w:ascii="Times New Roman" w:hAnsi="Times New Roman" w:cs="Times New Roman"/>
                <w:spacing w:val="-7"/>
                <w:sz w:val="21"/>
                <w:szCs w:val="21"/>
              </w:rPr>
              <w:t>交付</w:t>
            </w:r>
          </w:p>
        </w:tc>
        <w:tc>
          <w:tcPr>
            <w:tcW w:w="1320" w:type="dxa"/>
            <w:vAlign w:val="center"/>
          </w:tcPr>
          <w:p w14:paraId="17146B17">
            <w:pPr>
              <w:pStyle w:val="153"/>
              <w:spacing w:line="276" w:lineRule="auto"/>
              <w:jc w:val="center"/>
              <w:rPr>
                <w:rFonts w:ascii="Times New Roman" w:hAnsi="Times New Roman" w:cs="Times New Roman"/>
                <w:sz w:val="21"/>
                <w:szCs w:val="21"/>
              </w:rPr>
            </w:pPr>
            <w:r>
              <w:rPr>
                <w:rFonts w:ascii="Times New Roman" w:hAnsi="Times New Roman" w:cs="Times New Roman"/>
                <w:spacing w:val="-4"/>
                <w:sz w:val="21"/>
                <w:szCs w:val="21"/>
              </w:rPr>
              <w:t>输运</w:t>
            </w:r>
          </w:p>
        </w:tc>
        <w:tc>
          <w:tcPr>
            <w:tcW w:w="1859" w:type="dxa"/>
            <w:vAlign w:val="center"/>
          </w:tcPr>
          <w:p w14:paraId="1F533775">
            <w:pPr>
              <w:spacing w:line="276" w:lineRule="auto"/>
              <w:jc w:val="center"/>
              <w:rPr>
                <w:szCs w:val="21"/>
              </w:rPr>
            </w:pPr>
          </w:p>
        </w:tc>
        <w:tc>
          <w:tcPr>
            <w:tcW w:w="2564" w:type="dxa"/>
            <w:vAlign w:val="center"/>
          </w:tcPr>
          <w:p w14:paraId="13C88798">
            <w:pPr>
              <w:spacing w:line="276" w:lineRule="auto"/>
              <w:jc w:val="center"/>
              <w:rPr>
                <w:szCs w:val="21"/>
              </w:rPr>
            </w:pPr>
          </w:p>
        </w:tc>
        <w:tc>
          <w:tcPr>
            <w:tcW w:w="2567" w:type="dxa"/>
            <w:vAlign w:val="center"/>
          </w:tcPr>
          <w:p w14:paraId="34BD9F04">
            <w:pPr>
              <w:spacing w:line="276" w:lineRule="auto"/>
              <w:jc w:val="center"/>
              <w:rPr>
                <w:szCs w:val="21"/>
              </w:rPr>
            </w:pPr>
          </w:p>
        </w:tc>
      </w:tr>
      <w:tr w14:paraId="53E7D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1118" w:type="dxa"/>
            <w:vMerge w:val="continue"/>
            <w:tcBorders>
              <w:top w:val="nil"/>
            </w:tcBorders>
            <w:vAlign w:val="center"/>
          </w:tcPr>
          <w:p w14:paraId="515A801A">
            <w:pPr>
              <w:spacing w:line="276" w:lineRule="auto"/>
              <w:jc w:val="center"/>
              <w:rPr>
                <w:szCs w:val="21"/>
              </w:rPr>
            </w:pPr>
          </w:p>
        </w:tc>
        <w:tc>
          <w:tcPr>
            <w:tcW w:w="1320" w:type="dxa"/>
            <w:vAlign w:val="center"/>
          </w:tcPr>
          <w:p w14:paraId="6859ED3C">
            <w:pPr>
              <w:pStyle w:val="153"/>
              <w:spacing w:line="276" w:lineRule="auto"/>
              <w:jc w:val="center"/>
              <w:rPr>
                <w:rFonts w:ascii="Times New Roman" w:hAnsi="Times New Roman" w:cs="Times New Roman"/>
                <w:sz w:val="21"/>
                <w:szCs w:val="21"/>
              </w:rPr>
            </w:pPr>
            <w:r>
              <w:rPr>
                <w:rFonts w:ascii="Times New Roman" w:hAnsi="Times New Roman" w:cs="Times New Roman"/>
                <w:spacing w:val="-4"/>
                <w:sz w:val="21"/>
                <w:szCs w:val="21"/>
              </w:rPr>
              <w:t>储仓</w:t>
            </w:r>
          </w:p>
        </w:tc>
        <w:tc>
          <w:tcPr>
            <w:tcW w:w="1859" w:type="dxa"/>
            <w:vAlign w:val="center"/>
          </w:tcPr>
          <w:p w14:paraId="01EB80CF">
            <w:pPr>
              <w:spacing w:line="276" w:lineRule="auto"/>
              <w:jc w:val="center"/>
              <w:rPr>
                <w:szCs w:val="21"/>
              </w:rPr>
            </w:pPr>
          </w:p>
        </w:tc>
        <w:tc>
          <w:tcPr>
            <w:tcW w:w="2564" w:type="dxa"/>
            <w:vAlign w:val="center"/>
          </w:tcPr>
          <w:p w14:paraId="63838BB7">
            <w:pPr>
              <w:spacing w:line="276" w:lineRule="auto"/>
              <w:jc w:val="center"/>
              <w:rPr>
                <w:szCs w:val="21"/>
              </w:rPr>
            </w:pPr>
          </w:p>
        </w:tc>
        <w:tc>
          <w:tcPr>
            <w:tcW w:w="2567" w:type="dxa"/>
            <w:vAlign w:val="center"/>
          </w:tcPr>
          <w:p w14:paraId="321558B9">
            <w:pPr>
              <w:spacing w:line="276" w:lineRule="auto"/>
              <w:jc w:val="center"/>
              <w:rPr>
                <w:szCs w:val="21"/>
              </w:rPr>
            </w:pPr>
          </w:p>
        </w:tc>
      </w:tr>
      <w:tr w14:paraId="74DDD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Align w:val="center"/>
          </w:tcPr>
          <w:p w14:paraId="0F6049F0">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使用</w:t>
            </w:r>
          </w:p>
        </w:tc>
        <w:tc>
          <w:tcPr>
            <w:tcW w:w="1859" w:type="dxa"/>
            <w:vAlign w:val="center"/>
          </w:tcPr>
          <w:p w14:paraId="3D5DC8F3">
            <w:pPr>
              <w:spacing w:line="276" w:lineRule="auto"/>
              <w:jc w:val="center"/>
              <w:rPr>
                <w:szCs w:val="21"/>
              </w:rPr>
            </w:pPr>
          </w:p>
        </w:tc>
        <w:tc>
          <w:tcPr>
            <w:tcW w:w="2564" w:type="dxa"/>
            <w:vAlign w:val="center"/>
          </w:tcPr>
          <w:p w14:paraId="0F12E761">
            <w:pPr>
              <w:spacing w:line="276" w:lineRule="auto"/>
              <w:jc w:val="center"/>
              <w:rPr>
                <w:szCs w:val="21"/>
              </w:rPr>
            </w:pPr>
          </w:p>
        </w:tc>
        <w:tc>
          <w:tcPr>
            <w:tcW w:w="2567" w:type="dxa"/>
            <w:vAlign w:val="center"/>
          </w:tcPr>
          <w:p w14:paraId="6884EDB1">
            <w:pPr>
              <w:spacing w:line="276" w:lineRule="auto"/>
              <w:jc w:val="center"/>
              <w:rPr>
                <w:szCs w:val="21"/>
              </w:rPr>
            </w:pPr>
          </w:p>
        </w:tc>
      </w:tr>
      <w:tr w14:paraId="36AC81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jc w:val="center"/>
        </w:trPr>
        <w:tc>
          <w:tcPr>
            <w:tcW w:w="2438" w:type="dxa"/>
            <w:gridSpan w:val="2"/>
            <w:vMerge w:val="restart"/>
            <w:tcBorders>
              <w:bottom w:val="nil"/>
            </w:tcBorders>
            <w:vAlign w:val="center"/>
          </w:tcPr>
          <w:p w14:paraId="1602FE3C">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生命末期</w:t>
            </w:r>
          </w:p>
        </w:tc>
        <w:tc>
          <w:tcPr>
            <w:tcW w:w="1859" w:type="dxa"/>
            <w:vAlign w:val="center"/>
          </w:tcPr>
          <w:p w14:paraId="175F8129">
            <w:pPr>
              <w:spacing w:line="276" w:lineRule="auto"/>
              <w:jc w:val="center"/>
              <w:rPr>
                <w:szCs w:val="21"/>
              </w:rPr>
            </w:pPr>
          </w:p>
        </w:tc>
        <w:tc>
          <w:tcPr>
            <w:tcW w:w="2564" w:type="dxa"/>
            <w:vAlign w:val="center"/>
          </w:tcPr>
          <w:p w14:paraId="2B56AE52">
            <w:pPr>
              <w:spacing w:line="276" w:lineRule="auto"/>
              <w:jc w:val="center"/>
              <w:rPr>
                <w:szCs w:val="21"/>
              </w:rPr>
            </w:pPr>
          </w:p>
        </w:tc>
        <w:tc>
          <w:tcPr>
            <w:tcW w:w="2567" w:type="dxa"/>
            <w:vAlign w:val="center"/>
          </w:tcPr>
          <w:p w14:paraId="2E6F7FB3">
            <w:pPr>
              <w:spacing w:line="276" w:lineRule="auto"/>
              <w:jc w:val="center"/>
              <w:rPr>
                <w:szCs w:val="21"/>
              </w:rPr>
            </w:pPr>
          </w:p>
        </w:tc>
      </w:tr>
      <w:tr w14:paraId="35E01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2438" w:type="dxa"/>
            <w:gridSpan w:val="2"/>
            <w:vMerge w:val="continue"/>
            <w:tcBorders>
              <w:top w:val="nil"/>
            </w:tcBorders>
            <w:vAlign w:val="center"/>
          </w:tcPr>
          <w:p w14:paraId="49EA9389">
            <w:pPr>
              <w:spacing w:line="276" w:lineRule="auto"/>
              <w:jc w:val="center"/>
              <w:rPr>
                <w:szCs w:val="21"/>
              </w:rPr>
            </w:pPr>
          </w:p>
        </w:tc>
        <w:tc>
          <w:tcPr>
            <w:tcW w:w="1859" w:type="dxa"/>
            <w:vAlign w:val="center"/>
          </w:tcPr>
          <w:p w14:paraId="48B80D77">
            <w:pPr>
              <w:spacing w:line="276" w:lineRule="auto"/>
              <w:jc w:val="center"/>
              <w:rPr>
                <w:szCs w:val="21"/>
              </w:rPr>
            </w:pPr>
          </w:p>
        </w:tc>
        <w:tc>
          <w:tcPr>
            <w:tcW w:w="2564" w:type="dxa"/>
            <w:vAlign w:val="center"/>
          </w:tcPr>
          <w:p w14:paraId="06482CA7">
            <w:pPr>
              <w:spacing w:line="276" w:lineRule="auto"/>
              <w:jc w:val="center"/>
              <w:rPr>
                <w:szCs w:val="21"/>
              </w:rPr>
            </w:pPr>
          </w:p>
        </w:tc>
        <w:tc>
          <w:tcPr>
            <w:tcW w:w="2567" w:type="dxa"/>
            <w:vAlign w:val="center"/>
          </w:tcPr>
          <w:p w14:paraId="2829A29B">
            <w:pPr>
              <w:spacing w:line="276" w:lineRule="auto"/>
              <w:jc w:val="center"/>
              <w:rPr>
                <w:szCs w:val="21"/>
              </w:rPr>
            </w:pPr>
          </w:p>
        </w:tc>
      </w:tr>
    </w:tbl>
    <w:p w14:paraId="0D694988">
      <w:pPr>
        <w:spacing w:after="156" w:afterLines="50" w:line="276" w:lineRule="auto"/>
        <w:rPr>
          <w:rFonts w:eastAsia="黑体"/>
          <w:spacing w:val="-9"/>
          <w:sz w:val="22"/>
          <w:szCs w:val="22"/>
        </w:rPr>
      </w:pPr>
      <w:r>
        <w:rPr>
          <w:rFonts w:eastAsia="黑体"/>
          <w:spacing w:val="-9"/>
          <w:sz w:val="22"/>
          <w:szCs w:val="22"/>
        </w:rPr>
        <w:t>4、数据质量评价（可选项）</w:t>
      </w:r>
    </w:p>
    <w:p w14:paraId="5B7E7B93">
      <w:pPr>
        <w:spacing w:line="276" w:lineRule="auto"/>
        <w:ind w:firstLine="456" w:firstLineChars="200"/>
        <w:rPr>
          <w:spacing w:val="9"/>
          <w:szCs w:val="21"/>
        </w:rPr>
      </w:pPr>
      <w:r>
        <w:rPr>
          <w:spacing w:val="9"/>
          <w:szCs w:val="21"/>
        </w:rPr>
        <w:t>数据质量可从定性和定量两个方面对报告使用的初级数据和次级数据进行评价，具体评价内容包括：数据来源、完整性、数据代表性（时间、地理、技术）和准确性。</w:t>
      </w:r>
    </w:p>
    <w:p w14:paraId="73FEB4F3">
      <w:pPr>
        <w:spacing w:before="156" w:beforeLines="50" w:after="156" w:afterLines="50" w:line="276" w:lineRule="auto"/>
        <w:rPr>
          <w:rFonts w:eastAsia="黑体"/>
          <w:spacing w:val="-17"/>
          <w:sz w:val="24"/>
        </w:rPr>
      </w:pPr>
      <w:r>
        <w:rPr>
          <w:rFonts w:eastAsia="黑体"/>
          <w:spacing w:val="-17"/>
          <w:sz w:val="24"/>
        </w:rPr>
        <w:t>五、影响评价</w:t>
      </w:r>
    </w:p>
    <w:p w14:paraId="4B3AE61A">
      <w:pPr>
        <w:spacing w:after="156" w:afterLines="50" w:line="276" w:lineRule="auto"/>
        <w:rPr>
          <w:rFonts w:eastAsia="黑体"/>
          <w:spacing w:val="-9"/>
          <w:sz w:val="22"/>
          <w:szCs w:val="22"/>
        </w:rPr>
      </w:pPr>
      <w:r>
        <w:rPr>
          <w:rFonts w:eastAsia="黑体"/>
          <w:spacing w:val="-9"/>
          <w:sz w:val="22"/>
          <w:szCs w:val="22"/>
        </w:rPr>
        <w:t>1、影响类型和特征化因子选择</w:t>
      </w:r>
    </w:p>
    <w:p w14:paraId="03969BDD">
      <w:pPr>
        <w:spacing w:line="276" w:lineRule="auto"/>
        <w:ind w:firstLine="456" w:firstLineChars="200"/>
        <w:rPr>
          <w:spacing w:val="9"/>
          <w:szCs w:val="21"/>
        </w:rPr>
      </w:pPr>
      <w:r>
        <w:rPr>
          <w:spacing w:val="9"/>
          <w:szCs w:val="21"/>
        </w:rPr>
        <w:t>一般选择IPCC给出的100年GWP。</w:t>
      </w:r>
    </w:p>
    <w:p w14:paraId="65040CAC">
      <w:pPr>
        <w:spacing w:after="156" w:afterLines="50" w:line="276" w:lineRule="auto"/>
        <w:rPr>
          <w:rFonts w:eastAsia="黑体"/>
          <w:spacing w:val="-9"/>
          <w:sz w:val="22"/>
          <w:szCs w:val="22"/>
        </w:rPr>
      </w:pPr>
      <w:r>
        <w:rPr>
          <w:rFonts w:hint="eastAsia" w:eastAsia="黑体"/>
          <w:spacing w:val="-9"/>
          <w:sz w:val="22"/>
          <w:szCs w:val="22"/>
        </w:rPr>
        <w:t>2、</w:t>
      </w:r>
      <w:r>
        <w:rPr>
          <w:rFonts w:eastAsia="黑体"/>
          <w:spacing w:val="-9"/>
          <w:sz w:val="22"/>
          <w:szCs w:val="22"/>
        </w:rPr>
        <w:t>产品碳足迹结果计算</w:t>
      </w:r>
    </w:p>
    <w:p w14:paraId="3EF133E0">
      <w:pPr>
        <w:spacing w:after="156" w:afterLines="50" w:line="276" w:lineRule="auto"/>
        <w:rPr>
          <w:rFonts w:eastAsia="黑体"/>
          <w:spacing w:val="-9"/>
          <w:sz w:val="22"/>
          <w:szCs w:val="22"/>
        </w:rPr>
      </w:pPr>
      <w:r>
        <w:rPr>
          <w:rFonts w:hint="eastAsia" w:eastAsia="黑体"/>
          <w:spacing w:val="-9"/>
          <w:sz w:val="22"/>
          <w:szCs w:val="22"/>
        </w:rPr>
        <w:t>3、附加环境信息（如有）</w:t>
      </w:r>
    </w:p>
    <w:p w14:paraId="2F9FB3AB">
      <w:pPr>
        <w:spacing w:before="156" w:beforeLines="50" w:after="156" w:afterLines="50" w:line="276" w:lineRule="auto"/>
        <w:rPr>
          <w:rFonts w:eastAsia="黑体"/>
          <w:spacing w:val="-17"/>
          <w:sz w:val="24"/>
        </w:rPr>
      </w:pPr>
      <w:r>
        <w:rPr>
          <w:rFonts w:eastAsia="黑体"/>
          <w:spacing w:val="-17"/>
          <w:sz w:val="24"/>
        </w:rPr>
        <w:t>六、结果解释</w:t>
      </w:r>
    </w:p>
    <w:p w14:paraId="5E8FDA07">
      <w:pPr>
        <w:spacing w:after="156" w:afterLines="50" w:line="276" w:lineRule="auto"/>
        <w:rPr>
          <w:rFonts w:eastAsia="黑体"/>
          <w:spacing w:val="-9"/>
          <w:sz w:val="22"/>
          <w:szCs w:val="22"/>
        </w:rPr>
      </w:pPr>
      <w:r>
        <w:rPr>
          <w:rFonts w:eastAsia="黑体"/>
          <w:spacing w:val="-9"/>
          <w:sz w:val="22"/>
          <w:szCs w:val="22"/>
        </w:rPr>
        <w:t>1、结果说明</w:t>
      </w:r>
    </w:p>
    <w:p w14:paraId="279533F4">
      <w:pPr>
        <w:tabs>
          <w:tab w:val="left" w:pos="1310"/>
        </w:tabs>
        <w:spacing w:line="276" w:lineRule="auto"/>
        <w:ind w:firstLine="468" w:firstLineChars="200"/>
        <w:rPr>
          <w:spacing w:val="12"/>
          <w:szCs w:val="21"/>
        </w:rPr>
      </w:pPr>
      <w:r>
        <w:rPr>
          <w:spacing w:val="12"/>
          <w:szCs w:val="21"/>
          <w:u w:val="single"/>
        </w:rPr>
        <w:t xml:space="preserve">         </w:t>
      </w:r>
      <w:r>
        <w:rPr>
          <w:spacing w:val="12"/>
          <w:szCs w:val="21"/>
        </w:rPr>
        <w:t>公司（填写产品生产者的全名）生产的</w:t>
      </w:r>
      <w:r>
        <w:rPr>
          <w:spacing w:val="12"/>
          <w:szCs w:val="21"/>
          <w:u w:val="single"/>
        </w:rPr>
        <w:t xml:space="preserve">         </w:t>
      </w:r>
      <w:r>
        <w:rPr>
          <w:spacing w:val="12"/>
          <w:szCs w:val="21"/>
        </w:rPr>
        <w:t>（填写所评价的产品名称，每</w:t>
      </w:r>
      <w:r>
        <w:rPr>
          <w:spacing w:val="12"/>
          <w:szCs w:val="21"/>
        </w:rPr>
        <w:sym w:font="Wingdings 2" w:char="00A3"/>
      </w:r>
      <w:r>
        <w:rPr>
          <w:spacing w:val="12"/>
          <w:szCs w:val="21"/>
        </w:rPr>
        <w:t>功能单位/</w:t>
      </w:r>
      <w:r>
        <w:rPr>
          <w:spacing w:val="12"/>
          <w:szCs w:val="21"/>
        </w:rPr>
        <w:sym w:font="Wingdings 2" w:char="00A3"/>
      </w:r>
      <w:r>
        <w:rPr>
          <w:spacing w:val="12"/>
          <w:szCs w:val="21"/>
        </w:rPr>
        <w:t>声明单位的产品），从</w:t>
      </w:r>
      <w:r>
        <w:rPr>
          <w:spacing w:val="12"/>
          <w:szCs w:val="21"/>
          <w:u w:val="single"/>
        </w:rPr>
        <w:t xml:space="preserve">     </w:t>
      </w:r>
      <w:r>
        <w:rPr>
          <w:spacing w:val="12"/>
          <w:szCs w:val="21"/>
        </w:rPr>
        <w:t>（填写某生命周期阶段）到</w:t>
      </w:r>
      <w:r>
        <w:rPr>
          <w:spacing w:val="12"/>
          <w:szCs w:val="21"/>
          <w:u w:val="single"/>
        </w:rPr>
        <w:t xml:space="preserve">      </w:t>
      </w:r>
      <w:r>
        <w:rPr>
          <w:spacing w:val="12"/>
          <w:szCs w:val="21"/>
        </w:rPr>
        <w:t>（填写某生命周期阶段）生命周期碳足迹为</w:t>
      </w:r>
      <w:r>
        <w:rPr>
          <w:spacing w:val="12"/>
          <w:szCs w:val="21"/>
          <w:u w:val="single"/>
        </w:rPr>
        <w:t xml:space="preserve">       </w:t>
      </w:r>
      <w:r>
        <w:rPr>
          <w:spacing w:val="12"/>
          <w:szCs w:val="21"/>
        </w:rPr>
        <w:t>kgCO</w:t>
      </w:r>
      <w:r>
        <w:rPr>
          <w:spacing w:val="12"/>
          <w:szCs w:val="21"/>
          <w:vertAlign w:val="subscript"/>
        </w:rPr>
        <w:t>2</w:t>
      </w:r>
      <w:r>
        <w:rPr>
          <w:spacing w:val="12"/>
          <w:szCs w:val="21"/>
        </w:rPr>
        <w:t>e。各生命周期阶段的温室气体排放情况如表2和图2所示。</w:t>
      </w:r>
    </w:p>
    <w:p w14:paraId="35BF3897">
      <w:pPr>
        <w:spacing w:line="276" w:lineRule="auto"/>
        <w:jc w:val="center"/>
        <w:rPr>
          <w:rFonts w:eastAsia="黑体"/>
          <w:szCs w:val="21"/>
        </w:rPr>
      </w:pPr>
      <w:r>
        <w:rPr>
          <w:rFonts w:eastAsia="黑体"/>
          <w:spacing w:val="4"/>
          <w:szCs w:val="21"/>
        </w:rPr>
        <w:t>表</w:t>
      </w:r>
      <w:r>
        <w:rPr>
          <w:rFonts w:eastAsia="Times New Roman"/>
          <w:spacing w:val="4"/>
          <w:szCs w:val="21"/>
        </w:rPr>
        <w:t>2</w:t>
      </w:r>
      <w:r>
        <w:rPr>
          <w:spacing w:val="4"/>
          <w:szCs w:val="21"/>
        </w:rPr>
        <w:t xml:space="preserve"> </w:t>
      </w:r>
      <w:r>
        <w:rPr>
          <w:rFonts w:eastAsia="Times New Roman"/>
          <w:spacing w:val="3"/>
          <w:szCs w:val="21"/>
        </w:rPr>
        <w:t>**</w:t>
      </w:r>
      <w:r>
        <w:rPr>
          <w:rFonts w:eastAsia="黑体"/>
          <w:spacing w:val="3"/>
          <w:szCs w:val="21"/>
        </w:rPr>
        <w:t>产品</w:t>
      </w:r>
      <w:r>
        <w:rPr>
          <w:rFonts w:eastAsia="黑体"/>
          <w:spacing w:val="4"/>
          <w:szCs w:val="21"/>
        </w:rPr>
        <w:t>生命周期各阶段碳排放情况</w:t>
      </w:r>
    </w:p>
    <w:tbl>
      <w:tblPr>
        <w:tblStyle w:val="154"/>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349"/>
        <w:gridCol w:w="4444"/>
        <w:gridCol w:w="1961"/>
      </w:tblGrid>
      <w:tr w14:paraId="40EA9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2A73555E">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生命周期阶段</w:t>
            </w:r>
          </w:p>
        </w:tc>
        <w:tc>
          <w:tcPr>
            <w:tcW w:w="2277" w:type="pct"/>
            <w:vAlign w:val="center"/>
          </w:tcPr>
          <w:p w14:paraId="6C8417E3">
            <w:pPr>
              <w:pStyle w:val="153"/>
              <w:spacing w:line="276" w:lineRule="auto"/>
              <w:jc w:val="center"/>
              <w:rPr>
                <w:rFonts w:ascii="Times New Roman" w:hAnsi="Times New Roman" w:cs="Times New Roman"/>
                <w:sz w:val="21"/>
                <w:szCs w:val="21"/>
              </w:rPr>
            </w:pPr>
            <w:r>
              <w:rPr>
                <w:rFonts w:ascii="Times New Roman" w:hAnsi="Times New Roman" w:cs="Times New Roman"/>
                <w:spacing w:val="-3"/>
                <w:sz w:val="21"/>
                <w:szCs w:val="21"/>
              </w:rPr>
              <w:t>碳足迹（</w:t>
            </w:r>
            <w:r>
              <w:rPr>
                <w:rFonts w:ascii="Times New Roman" w:hAnsi="Times New Roman" w:eastAsia="Times New Roman" w:cs="Times New Roman"/>
                <w:spacing w:val="-3"/>
                <w:sz w:val="21"/>
                <w:szCs w:val="21"/>
              </w:rPr>
              <w:t>kg CO</w:t>
            </w:r>
            <w:r>
              <w:rPr>
                <w:rFonts w:ascii="Times New Roman" w:hAnsi="Times New Roman" w:eastAsia="Times New Roman" w:cs="Times New Roman"/>
                <w:spacing w:val="-3"/>
                <w:position w:val="-1"/>
                <w:sz w:val="21"/>
                <w:szCs w:val="21"/>
                <w:vertAlign w:val="subscript"/>
              </w:rPr>
              <w:t>2</w:t>
            </w:r>
            <w:r>
              <w:rPr>
                <w:rFonts w:ascii="Times New Roman" w:hAnsi="Times New Roman" w:eastAsia="Times New Roman" w:cs="Times New Roman"/>
                <w:spacing w:val="-3"/>
                <w:sz w:val="21"/>
                <w:szCs w:val="21"/>
              </w:rPr>
              <w:t>e/</w:t>
            </w:r>
            <w:r>
              <w:rPr>
                <w:rFonts w:ascii="Times New Roman" w:hAnsi="Times New Roman" w:cs="Times New Roman"/>
                <w:spacing w:val="-3"/>
                <w:sz w:val="21"/>
                <w:szCs w:val="21"/>
              </w:rPr>
              <w:t>功能单位</w:t>
            </w:r>
            <w:r>
              <w:rPr>
                <w:rFonts w:ascii="Times New Roman" w:hAnsi="Times New Roman" w:cs="Times New Roman"/>
                <w:spacing w:val="-3"/>
                <w:sz w:val="21"/>
                <w:szCs w:val="21"/>
                <w:lang w:eastAsia="zh-CN"/>
              </w:rPr>
              <w:t>（声明单位）</w:t>
            </w:r>
            <w:r>
              <w:rPr>
                <w:rFonts w:ascii="Times New Roman" w:hAnsi="Times New Roman" w:cs="Times New Roman"/>
                <w:spacing w:val="-3"/>
                <w:sz w:val="21"/>
                <w:szCs w:val="21"/>
              </w:rPr>
              <w:t>）</w:t>
            </w:r>
          </w:p>
        </w:tc>
        <w:tc>
          <w:tcPr>
            <w:tcW w:w="1005" w:type="pct"/>
            <w:vAlign w:val="center"/>
          </w:tcPr>
          <w:p w14:paraId="74BBDB8C">
            <w:pPr>
              <w:pStyle w:val="153"/>
              <w:spacing w:line="276" w:lineRule="auto"/>
              <w:jc w:val="center"/>
              <w:rPr>
                <w:rFonts w:ascii="Times New Roman" w:hAnsi="Times New Roman" w:cs="Times New Roman"/>
                <w:sz w:val="21"/>
                <w:szCs w:val="21"/>
              </w:rPr>
            </w:pPr>
            <w:r>
              <w:rPr>
                <w:rFonts w:ascii="Times New Roman" w:hAnsi="Times New Roman" w:cs="Times New Roman"/>
                <w:spacing w:val="-7"/>
                <w:sz w:val="21"/>
                <w:szCs w:val="21"/>
              </w:rPr>
              <w:t>百分比（</w:t>
            </w:r>
            <w:r>
              <w:rPr>
                <w:rFonts w:ascii="Times New Roman" w:hAnsi="Times New Roman" w:eastAsia="Times New Roman" w:cs="Times New Roman"/>
                <w:spacing w:val="-7"/>
                <w:sz w:val="21"/>
                <w:szCs w:val="21"/>
              </w:rPr>
              <w:t>%</w:t>
            </w:r>
            <w:r>
              <w:rPr>
                <w:rFonts w:ascii="Times New Roman" w:hAnsi="Times New Roman" w:cs="Times New Roman"/>
                <w:spacing w:val="-7"/>
                <w:sz w:val="21"/>
                <w:szCs w:val="21"/>
              </w:rPr>
              <w:t>）</w:t>
            </w:r>
          </w:p>
        </w:tc>
      </w:tr>
      <w:tr w14:paraId="14D91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6117628E">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原料获取阶段</w:t>
            </w:r>
          </w:p>
        </w:tc>
        <w:tc>
          <w:tcPr>
            <w:tcW w:w="2277" w:type="pct"/>
            <w:vAlign w:val="center"/>
          </w:tcPr>
          <w:p w14:paraId="6AD7E9E5">
            <w:pPr>
              <w:spacing w:line="276" w:lineRule="auto"/>
              <w:jc w:val="center"/>
              <w:rPr>
                <w:szCs w:val="21"/>
              </w:rPr>
            </w:pPr>
          </w:p>
        </w:tc>
        <w:tc>
          <w:tcPr>
            <w:tcW w:w="1005" w:type="pct"/>
            <w:vAlign w:val="center"/>
          </w:tcPr>
          <w:p w14:paraId="093039A9">
            <w:pPr>
              <w:spacing w:line="276" w:lineRule="auto"/>
              <w:jc w:val="center"/>
              <w:rPr>
                <w:szCs w:val="21"/>
              </w:rPr>
            </w:pPr>
          </w:p>
        </w:tc>
      </w:tr>
      <w:tr w14:paraId="5F393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trPr>
        <w:tc>
          <w:tcPr>
            <w:tcW w:w="1716" w:type="pct"/>
            <w:vAlign w:val="center"/>
          </w:tcPr>
          <w:p w14:paraId="54F64801">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产品生产阶段</w:t>
            </w:r>
          </w:p>
        </w:tc>
        <w:tc>
          <w:tcPr>
            <w:tcW w:w="2277" w:type="pct"/>
            <w:vAlign w:val="center"/>
          </w:tcPr>
          <w:p w14:paraId="6EF303A1">
            <w:pPr>
              <w:spacing w:line="276" w:lineRule="auto"/>
              <w:jc w:val="center"/>
              <w:rPr>
                <w:szCs w:val="21"/>
              </w:rPr>
            </w:pPr>
          </w:p>
        </w:tc>
        <w:tc>
          <w:tcPr>
            <w:tcW w:w="1005" w:type="pct"/>
            <w:vAlign w:val="center"/>
          </w:tcPr>
          <w:p w14:paraId="2B3D0132">
            <w:pPr>
              <w:spacing w:line="276" w:lineRule="auto"/>
              <w:jc w:val="center"/>
              <w:rPr>
                <w:szCs w:val="21"/>
              </w:rPr>
            </w:pPr>
          </w:p>
        </w:tc>
      </w:tr>
      <w:tr w14:paraId="3F6BE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247611D3">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产品分销阶段</w:t>
            </w:r>
          </w:p>
        </w:tc>
        <w:tc>
          <w:tcPr>
            <w:tcW w:w="2277" w:type="pct"/>
            <w:vAlign w:val="center"/>
          </w:tcPr>
          <w:p w14:paraId="6E8F2DF8">
            <w:pPr>
              <w:spacing w:line="276" w:lineRule="auto"/>
              <w:jc w:val="center"/>
              <w:rPr>
                <w:szCs w:val="21"/>
              </w:rPr>
            </w:pPr>
          </w:p>
        </w:tc>
        <w:tc>
          <w:tcPr>
            <w:tcW w:w="1005" w:type="pct"/>
            <w:vAlign w:val="center"/>
          </w:tcPr>
          <w:p w14:paraId="4155CA69">
            <w:pPr>
              <w:spacing w:line="276" w:lineRule="auto"/>
              <w:jc w:val="center"/>
              <w:rPr>
                <w:szCs w:val="21"/>
              </w:rPr>
            </w:pPr>
          </w:p>
        </w:tc>
      </w:tr>
      <w:tr w14:paraId="09B65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539E830D">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lang w:eastAsia="zh-CN"/>
              </w:rPr>
              <w:t>安装和使用阶段</w:t>
            </w:r>
          </w:p>
        </w:tc>
        <w:tc>
          <w:tcPr>
            <w:tcW w:w="2277" w:type="pct"/>
            <w:vAlign w:val="center"/>
          </w:tcPr>
          <w:p w14:paraId="6B84AEBE">
            <w:pPr>
              <w:spacing w:line="276" w:lineRule="auto"/>
              <w:jc w:val="center"/>
              <w:rPr>
                <w:szCs w:val="21"/>
              </w:rPr>
            </w:pPr>
          </w:p>
        </w:tc>
        <w:tc>
          <w:tcPr>
            <w:tcW w:w="1005" w:type="pct"/>
            <w:vAlign w:val="center"/>
          </w:tcPr>
          <w:p w14:paraId="718CA6DE">
            <w:pPr>
              <w:spacing w:line="276" w:lineRule="auto"/>
              <w:jc w:val="center"/>
              <w:rPr>
                <w:szCs w:val="21"/>
              </w:rPr>
            </w:pPr>
          </w:p>
        </w:tc>
      </w:tr>
      <w:tr w14:paraId="493C6A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7C567FAE">
            <w:pPr>
              <w:pStyle w:val="153"/>
              <w:spacing w:line="276" w:lineRule="auto"/>
              <w:jc w:val="center"/>
              <w:rPr>
                <w:rFonts w:ascii="Times New Roman" w:hAnsi="Times New Roman" w:cs="Times New Roman"/>
                <w:sz w:val="21"/>
                <w:szCs w:val="21"/>
              </w:rPr>
            </w:pPr>
            <w:r>
              <w:rPr>
                <w:rFonts w:ascii="Times New Roman" w:hAnsi="Times New Roman" w:cs="Times New Roman"/>
                <w:spacing w:val="-5"/>
                <w:sz w:val="21"/>
                <w:szCs w:val="21"/>
              </w:rPr>
              <w:t>生命末期</w:t>
            </w:r>
          </w:p>
        </w:tc>
        <w:tc>
          <w:tcPr>
            <w:tcW w:w="2277" w:type="pct"/>
            <w:vAlign w:val="center"/>
          </w:tcPr>
          <w:p w14:paraId="0A0E5A3A">
            <w:pPr>
              <w:spacing w:line="276" w:lineRule="auto"/>
              <w:jc w:val="center"/>
              <w:rPr>
                <w:szCs w:val="21"/>
              </w:rPr>
            </w:pPr>
          </w:p>
        </w:tc>
        <w:tc>
          <w:tcPr>
            <w:tcW w:w="1005" w:type="pct"/>
            <w:vAlign w:val="center"/>
          </w:tcPr>
          <w:p w14:paraId="65A5692E">
            <w:pPr>
              <w:spacing w:line="276" w:lineRule="auto"/>
              <w:jc w:val="center"/>
              <w:rPr>
                <w:szCs w:val="21"/>
              </w:rPr>
            </w:pPr>
          </w:p>
        </w:tc>
      </w:tr>
      <w:tr w14:paraId="286E0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716" w:type="pct"/>
            <w:vAlign w:val="center"/>
          </w:tcPr>
          <w:p w14:paraId="1E63A15F">
            <w:pPr>
              <w:pStyle w:val="153"/>
              <w:spacing w:line="276" w:lineRule="auto"/>
              <w:jc w:val="center"/>
              <w:rPr>
                <w:rFonts w:ascii="Times New Roman" w:hAnsi="Times New Roman" w:cs="Times New Roman"/>
                <w:sz w:val="21"/>
                <w:szCs w:val="21"/>
              </w:rPr>
            </w:pPr>
            <w:r>
              <w:rPr>
                <w:rFonts w:ascii="Times New Roman" w:hAnsi="Times New Roman" w:cs="Times New Roman"/>
                <w:spacing w:val="-6"/>
                <w:sz w:val="21"/>
                <w:szCs w:val="21"/>
              </w:rPr>
              <w:t>总计</w:t>
            </w:r>
          </w:p>
        </w:tc>
        <w:tc>
          <w:tcPr>
            <w:tcW w:w="2277" w:type="pct"/>
            <w:vAlign w:val="center"/>
          </w:tcPr>
          <w:p w14:paraId="3AF0BB55">
            <w:pPr>
              <w:spacing w:line="276" w:lineRule="auto"/>
              <w:jc w:val="center"/>
              <w:rPr>
                <w:szCs w:val="21"/>
              </w:rPr>
            </w:pPr>
          </w:p>
        </w:tc>
        <w:tc>
          <w:tcPr>
            <w:tcW w:w="1005" w:type="pct"/>
            <w:vAlign w:val="center"/>
          </w:tcPr>
          <w:p w14:paraId="79CB41A7">
            <w:pPr>
              <w:spacing w:line="276" w:lineRule="auto"/>
              <w:jc w:val="center"/>
              <w:rPr>
                <w:szCs w:val="21"/>
              </w:rPr>
            </w:pPr>
          </w:p>
        </w:tc>
      </w:tr>
    </w:tbl>
    <w:p w14:paraId="2D594546">
      <w:pPr>
        <w:spacing w:line="276" w:lineRule="auto"/>
        <w:rPr>
          <w:rFonts w:eastAsia="黑体"/>
          <w:spacing w:val="5"/>
          <w:szCs w:val="21"/>
        </w:rPr>
      </w:pPr>
    </w:p>
    <w:p w14:paraId="22FF8B37">
      <w:pPr>
        <w:spacing w:line="276" w:lineRule="auto"/>
        <w:jc w:val="center"/>
        <w:rPr>
          <w:rFonts w:eastAsia="黑体"/>
          <w:szCs w:val="21"/>
        </w:rPr>
      </w:pPr>
      <w:r>
        <w:rPr>
          <w:rFonts w:eastAsia="黑体"/>
          <w:spacing w:val="5"/>
          <w:szCs w:val="21"/>
        </w:rPr>
        <w:t>图</w:t>
      </w:r>
      <w:r>
        <w:rPr>
          <w:rFonts w:eastAsia="黑体"/>
          <w:spacing w:val="-20"/>
          <w:szCs w:val="21"/>
        </w:rPr>
        <w:t xml:space="preserve"> </w:t>
      </w:r>
      <w:r>
        <w:rPr>
          <w:rFonts w:eastAsia="Times New Roman"/>
          <w:spacing w:val="5"/>
          <w:szCs w:val="21"/>
        </w:rPr>
        <w:t>2</w:t>
      </w:r>
      <w:r>
        <w:rPr>
          <w:rFonts w:eastAsia="Times New Roman"/>
          <w:spacing w:val="39"/>
          <w:w w:val="101"/>
          <w:szCs w:val="21"/>
        </w:rPr>
        <w:t xml:space="preserve"> </w:t>
      </w:r>
      <w:r>
        <w:rPr>
          <w:rFonts w:eastAsia="Times New Roman"/>
          <w:spacing w:val="5"/>
          <w:szCs w:val="21"/>
        </w:rPr>
        <w:t>**</w:t>
      </w:r>
      <w:r>
        <w:rPr>
          <w:rFonts w:eastAsia="黑体"/>
          <w:spacing w:val="5"/>
          <w:szCs w:val="21"/>
        </w:rPr>
        <w:t>各生命周期阶段碳排放分布图</w:t>
      </w:r>
    </w:p>
    <w:p w14:paraId="074CF535">
      <w:pPr>
        <w:spacing w:line="276" w:lineRule="auto"/>
        <w:rPr>
          <w:szCs w:val="21"/>
        </w:rPr>
      </w:pPr>
      <w:r>
        <w:rPr>
          <w:rFonts w:eastAsia="黑体"/>
          <w:spacing w:val="16"/>
          <w:szCs w:val="21"/>
        </w:rPr>
        <w:t>注</w:t>
      </w:r>
      <w:r>
        <w:rPr>
          <w:spacing w:val="16"/>
          <w:szCs w:val="21"/>
        </w:rPr>
        <w:t>：具体产品生命周期阶段碳排放分布图一般以饼状图或是柱形图表示各生</w:t>
      </w:r>
      <w:r>
        <w:rPr>
          <w:spacing w:val="15"/>
          <w:szCs w:val="21"/>
        </w:rPr>
        <w:t>命周期阶段的碳排放情况。</w:t>
      </w:r>
    </w:p>
    <w:p w14:paraId="314BE228">
      <w:pPr>
        <w:spacing w:after="156" w:afterLines="50" w:line="276" w:lineRule="auto"/>
        <w:rPr>
          <w:rFonts w:eastAsia="黑体"/>
          <w:spacing w:val="-9"/>
          <w:sz w:val="22"/>
          <w:szCs w:val="22"/>
        </w:rPr>
      </w:pPr>
      <w:r>
        <w:rPr>
          <w:rFonts w:eastAsia="黑体"/>
          <w:spacing w:val="-9"/>
          <w:sz w:val="22"/>
          <w:szCs w:val="22"/>
        </w:rPr>
        <w:t>2、假设和局限性说明（可选项）</w:t>
      </w:r>
    </w:p>
    <w:p w14:paraId="61E13BCA">
      <w:pPr>
        <w:spacing w:line="276" w:lineRule="auto"/>
        <w:ind w:firstLine="456" w:firstLineChars="200"/>
        <w:rPr>
          <w:spacing w:val="9"/>
          <w:szCs w:val="21"/>
        </w:rPr>
      </w:pPr>
      <w:r>
        <w:rPr>
          <w:spacing w:val="9"/>
          <w:szCs w:val="21"/>
        </w:rPr>
        <w:t>结合量化情况，对范围、数据选择、情景设定等相关的假设和局限进行说明。</w:t>
      </w:r>
    </w:p>
    <w:p w14:paraId="2B9CF570">
      <w:pPr>
        <w:spacing w:after="156" w:afterLines="50" w:line="276" w:lineRule="auto"/>
        <w:rPr>
          <w:rFonts w:eastAsia="黑体"/>
          <w:spacing w:val="-9"/>
          <w:sz w:val="22"/>
          <w:szCs w:val="22"/>
        </w:rPr>
      </w:pPr>
      <w:r>
        <w:rPr>
          <w:rFonts w:hint="eastAsia" w:eastAsia="黑体"/>
          <w:spacing w:val="-9"/>
          <w:sz w:val="22"/>
          <w:szCs w:val="22"/>
        </w:rPr>
        <w:t>3、</w:t>
      </w:r>
      <w:r>
        <w:rPr>
          <w:rFonts w:eastAsia="黑体"/>
          <w:spacing w:val="-9"/>
          <w:sz w:val="22"/>
          <w:szCs w:val="22"/>
        </w:rPr>
        <w:t>改进建议</w:t>
      </w:r>
    </w:p>
    <w:p w14:paraId="0EDD43C3">
      <w:pPr>
        <w:spacing w:after="156" w:afterLines="50" w:line="276" w:lineRule="auto"/>
        <w:rPr>
          <w:rFonts w:eastAsia="黑体"/>
          <w:spacing w:val="-9"/>
          <w:sz w:val="22"/>
          <w:szCs w:val="22"/>
        </w:rPr>
        <w:sectPr>
          <w:footerReference r:id="rId16" w:type="default"/>
          <w:pgSz w:w="11906" w:h="16838"/>
          <w:pgMar w:top="1020" w:right="1134" w:bottom="1020" w:left="1020" w:header="1134" w:footer="1134" w:gutter="0"/>
          <w:cols w:space="425" w:num="1"/>
          <w:formProt w:val="0"/>
          <w:titlePg/>
          <w:docGrid w:type="linesAndChars" w:linePitch="312" w:charSpace="0"/>
        </w:sectPr>
      </w:pPr>
      <w:r>
        <w:rPr>
          <w:rFonts w:hint="eastAsia" w:eastAsia="黑体"/>
          <w:spacing w:val="-9"/>
          <w:sz w:val="22"/>
          <w:szCs w:val="22"/>
        </w:rPr>
        <w:t>4、产品碳足迹绩效追踪（如有）</w:t>
      </w:r>
    </w:p>
    <w:p w14:paraId="40F0E5C7">
      <w:pPr>
        <w:pStyle w:val="26"/>
        <w:spacing w:line="276" w:lineRule="auto"/>
        <w:rPr>
          <w:rFonts w:ascii="Times New Roman"/>
        </w:rPr>
      </w:pPr>
    </w:p>
    <w:p w14:paraId="60A29E17">
      <w:pPr>
        <w:spacing w:line="276" w:lineRule="auto"/>
        <w:jc w:val="center"/>
        <w:outlineLvl w:val="0"/>
        <w:rPr>
          <w:sz w:val="28"/>
          <w:szCs w:val="32"/>
        </w:rPr>
      </w:pPr>
      <w:bookmarkStart w:id="51" w:name="_Toc27915"/>
      <w:r>
        <w:rPr>
          <w:sz w:val="28"/>
          <w:szCs w:val="32"/>
        </w:rPr>
        <w:t>参考文献</w:t>
      </w:r>
      <w:bookmarkEnd w:id="51"/>
    </w:p>
    <w:p w14:paraId="55FCBD3B">
      <w:pPr>
        <w:spacing w:line="276" w:lineRule="auto"/>
        <w:rPr>
          <w:szCs w:val="21"/>
        </w:rPr>
      </w:pPr>
      <w:r>
        <w:rPr>
          <w:szCs w:val="21"/>
        </w:rPr>
        <w:t>[1]PAS 2050: 2011 Specification for the assessment of the life cycle greenhouse gas emissions ofgoods and services</w:t>
      </w:r>
    </w:p>
    <w:p w14:paraId="7E4EAB4F">
      <w:pPr>
        <w:spacing w:line="276" w:lineRule="auto"/>
        <w:rPr>
          <w:szCs w:val="21"/>
        </w:rPr>
      </w:pPr>
      <w:r>
        <w:rPr>
          <w:szCs w:val="21"/>
        </w:rPr>
        <w:t>[2]GB/T51366-2019 《建筑碳排放计算标准》</w:t>
      </w:r>
    </w:p>
    <w:p w14:paraId="24A7CF81">
      <w:pPr>
        <w:spacing w:line="276" w:lineRule="auto"/>
        <w:rPr>
          <w:szCs w:val="21"/>
        </w:rPr>
      </w:pPr>
      <w:r>
        <w:rPr>
          <w:szCs w:val="21"/>
        </w:rPr>
        <w:t>[3]</w:t>
      </w:r>
      <w:r>
        <w:rPr>
          <w:rFonts w:eastAsia="Times New Roman"/>
          <w:spacing w:val="-1"/>
          <w:szCs w:val="21"/>
        </w:rPr>
        <w:t>IPCC.</w:t>
      </w:r>
      <w:r>
        <w:rPr>
          <w:rFonts w:eastAsia="Times New Roman"/>
          <w:spacing w:val="41"/>
          <w:szCs w:val="21"/>
        </w:rPr>
        <w:t xml:space="preserve"> </w:t>
      </w:r>
      <w:r>
        <w:rPr>
          <w:rFonts w:eastAsia="Times New Roman"/>
          <w:spacing w:val="-1"/>
          <w:szCs w:val="21"/>
        </w:rPr>
        <w:t>Climate</w:t>
      </w:r>
      <w:r>
        <w:rPr>
          <w:rFonts w:eastAsia="Times New Roman"/>
          <w:spacing w:val="41"/>
          <w:w w:val="101"/>
          <w:szCs w:val="21"/>
        </w:rPr>
        <w:t xml:space="preserve"> </w:t>
      </w:r>
      <w:r>
        <w:rPr>
          <w:rFonts w:eastAsia="Times New Roman"/>
          <w:spacing w:val="-1"/>
          <w:szCs w:val="21"/>
        </w:rPr>
        <w:t>Change</w:t>
      </w:r>
      <w:r>
        <w:rPr>
          <w:rFonts w:eastAsia="Times New Roman"/>
          <w:spacing w:val="37"/>
          <w:w w:val="101"/>
          <w:szCs w:val="21"/>
        </w:rPr>
        <w:t xml:space="preserve"> </w:t>
      </w:r>
      <w:r>
        <w:rPr>
          <w:rFonts w:eastAsia="Times New Roman"/>
          <w:spacing w:val="-1"/>
          <w:szCs w:val="21"/>
        </w:rPr>
        <w:t>2021:</w:t>
      </w:r>
      <w:r>
        <w:rPr>
          <w:rFonts w:eastAsia="Times New Roman"/>
          <w:spacing w:val="34"/>
          <w:szCs w:val="21"/>
        </w:rPr>
        <w:t xml:space="preserve"> </w:t>
      </w:r>
      <w:r>
        <w:rPr>
          <w:rFonts w:eastAsia="Times New Roman"/>
          <w:spacing w:val="-1"/>
          <w:szCs w:val="21"/>
        </w:rPr>
        <w:t>The</w:t>
      </w:r>
      <w:r>
        <w:rPr>
          <w:rFonts w:eastAsia="Times New Roman"/>
          <w:spacing w:val="38"/>
          <w:szCs w:val="21"/>
        </w:rPr>
        <w:t xml:space="preserve"> </w:t>
      </w:r>
      <w:r>
        <w:rPr>
          <w:rFonts w:eastAsia="Times New Roman"/>
          <w:spacing w:val="-1"/>
          <w:szCs w:val="21"/>
        </w:rPr>
        <w:t>Physical</w:t>
      </w:r>
      <w:r>
        <w:rPr>
          <w:rFonts w:eastAsia="Times New Roman"/>
          <w:spacing w:val="45"/>
          <w:w w:val="101"/>
          <w:szCs w:val="21"/>
        </w:rPr>
        <w:t xml:space="preserve"> </w:t>
      </w:r>
      <w:r>
        <w:rPr>
          <w:rFonts w:eastAsia="Times New Roman"/>
          <w:spacing w:val="-1"/>
          <w:szCs w:val="21"/>
        </w:rPr>
        <w:t>Science</w:t>
      </w:r>
      <w:r>
        <w:rPr>
          <w:rFonts w:eastAsia="Times New Roman"/>
          <w:spacing w:val="37"/>
          <w:szCs w:val="21"/>
        </w:rPr>
        <w:t xml:space="preserve"> </w:t>
      </w:r>
      <w:r>
        <w:rPr>
          <w:rFonts w:eastAsia="Times New Roman"/>
          <w:spacing w:val="-1"/>
          <w:szCs w:val="21"/>
        </w:rPr>
        <w:t>Basis.</w:t>
      </w:r>
      <w:r>
        <w:rPr>
          <w:rFonts w:eastAsia="Times New Roman"/>
          <w:spacing w:val="31"/>
          <w:szCs w:val="21"/>
        </w:rPr>
        <w:t xml:space="preserve"> </w:t>
      </w:r>
      <w:r>
        <w:rPr>
          <w:rFonts w:eastAsia="Times New Roman"/>
          <w:spacing w:val="-1"/>
          <w:szCs w:val="21"/>
        </w:rPr>
        <w:t>Workin</w:t>
      </w:r>
      <w:r>
        <w:rPr>
          <w:rFonts w:eastAsia="Times New Roman"/>
          <w:spacing w:val="-2"/>
          <w:szCs w:val="21"/>
        </w:rPr>
        <w:t>g</w:t>
      </w:r>
      <w:r>
        <w:rPr>
          <w:rFonts w:eastAsia="Times New Roman"/>
          <w:spacing w:val="41"/>
          <w:szCs w:val="21"/>
        </w:rPr>
        <w:t xml:space="preserve"> </w:t>
      </w:r>
      <w:r>
        <w:rPr>
          <w:rFonts w:eastAsia="Times New Roman"/>
          <w:spacing w:val="-2"/>
          <w:szCs w:val="21"/>
        </w:rPr>
        <w:t>Group</w:t>
      </w:r>
      <w:r>
        <w:rPr>
          <w:rFonts w:eastAsia="Times New Roman"/>
          <w:spacing w:val="39"/>
          <w:szCs w:val="21"/>
        </w:rPr>
        <w:t xml:space="preserve"> </w:t>
      </w:r>
      <w:r>
        <w:rPr>
          <w:rFonts w:eastAsia="Times New Roman"/>
          <w:spacing w:val="-2"/>
          <w:szCs w:val="21"/>
        </w:rPr>
        <w:t>I</w:t>
      </w:r>
      <w:r>
        <w:rPr>
          <w:rFonts w:eastAsia="Times New Roman"/>
          <w:spacing w:val="40"/>
          <w:szCs w:val="21"/>
        </w:rPr>
        <w:t xml:space="preserve"> </w:t>
      </w:r>
      <w:r>
        <w:rPr>
          <w:rFonts w:eastAsia="Times New Roman"/>
          <w:spacing w:val="-2"/>
          <w:szCs w:val="21"/>
        </w:rPr>
        <w:t>contribution</w:t>
      </w:r>
      <w:r>
        <w:rPr>
          <w:rFonts w:eastAsia="Times New Roman"/>
          <w:spacing w:val="36"/>
          <w:szCs w:val="21"/>
        </w:rPr>
        <w:t xml:space="preserve"> </w:t>
      </w:r>
      <w:r>
        <w:rPr>
          <w:rFonts w:eastAsia="Times New Roman"/>
          <w:spacing w:val="-2"/>
          <w:szCs w:val="21"/>
        </w:rPr>
        <w:t>to</w:t>
      </w:r>
      <w:r>
        <w:rPr>
          <w:rFonts w:eastAsia="Times New Roman"/>
          <w:spacing w:val="35"/>
          <w:w w:val="101"/>
          <w:szCs w:val="21"/>
        </w:rPr>
        <w:t xml:space="preserve"> </w:t>
      </w:r>
      <w:r>
        <w:rPr>
          <w:rFonts w:eastAsia="Times New Roman"/>
          <w:spacing w:val="-2"/>
          <w:szCs w:val="21"/>
        </w:rPr>
        <w:t>the</w:t>
      </w:r>
      <w:r>
        <w:rPr>
          <w:rFonts w:eastAsia="Times New Roman"/>
          <w:spacing w:val="47"/>
          <w:szCs w:val="21"/>
        </w:rPr>
        <w:t xml:space="preserve"> </w:t>
      </w:r>
      <w:r>
        <w:rPr>
          <w:rFonts w:eastAsia="Times New Roman"/>
          <w:spacing w:val="-2"/>
          <w:szCs w:val="21"/>
        </w:rPr>
        <w:t>Sixth</w:t>
      </w:r>
      <w:r>
        <w:rPr>
          <w:rFonts w:eastAsia="Times New Roman"/>
          <w:szCs w:val="21"/>
        </w:rPr>
        <w:t xml:space="preserve"> </w:t>
      </w:r>
      <w:r>
        <w:rPr>
          <w:rFonts w:eastAsia="Times New Roman"/>
          <w:spacing w:val="-1"/>
          <w:szCs w:val="21"/>
        </w:rPr>
        <w:t>Assessment</w:t>
      </w:r>
      <w:r>
        <w:rPr>
          <w:rFonts w:eastAsia="Times New Roman"/>
          <w:spacing w:val="-12"/>
          <w:szCs w:val="21"/>
        </w:rPr>
        <w:t xml:space="preserve"> </w:t>
      </w:r>
      <w:r>
        <w:rPr>
          <w:rFonts w:eastAsia="Times New Roman"/>
          <w:spacing w:val="-1"/>
          <w:szCs w:val="21"/>
        </w:rPr>
        <w:t>Report of</w:t>
      </w:r>
      <w:r>
        <w:rPr>
          <w:rFonts w:eastAsia="Times New Roman"/>
          <w:spacing w:val="-32"/>
          <w:szCs w:val="21"/>
        </w:rPr>
        <w:t xml:space="preserve"> </w:t>
      </w:r>
      <w:r>
        <w:rPr>
          <w:rFonts w:eastAsia="Times New Roman"/>
          <w:spacing w:val="-1"/>
          <w:szCs w:val="21"/>
        </w:rPr>
        <w:t>the Intergovernmental</w:t>
      </w:r>
      <w:r>
        <w:rPr>
          <w:rFonts w:eastAsia="Times New Roman"/>
          <w:spacing w:val="-9"/>
          <w:szCs w:val="21"/>
        </w:rPr>
        <w:t xml:space="preserve"> </w:t>
      </w:r>
      <w:r>
        <w:rPr>
          <w:rFonts w:eastAsia="Times New Roman"/>
          <w:spacing w:val="-1"/>
          <w:szCs w:val="21"/>
        </w:rPr>
        <w:t>Panel on Climate Change.</w:t>
      </w:r>
      <w:r>
        <w:rPr>
          <w:rFonts w:eastAsia="Times New Roman"/>
          <w:spacing w:val="-11"/>
          <w:szCs w:val="21"/>
        </w:rPr>
        <w:t xml:space="preserve"> </w:t>
      </w:r>
      <w:r>
        <w:rPr>
          <w:rFonts w:eastAsia="Times New Roman"/>
          <w:spacing w:val="-1"/>
          <w:szCs w:val="21"/>
        </w:rPr>
        <w:t>Richard P.</w:t>
      </w:r>
      <w:r>
        <w:rPr>
          <w:rFonts w:eastAsia="Times New Roman"/>
          <w:spacing w:val="-22"/>
          <w:szCs w:val="21"/>
        </w:rPr>
        <w:t xml:space="preserve"> </w:t>
      </w:r>
      <w:r>
        <w:rPr>
          <w:rFonts w:eastAsia="Times New Roman"/>
          <w:spacing w:val="-1"/>
          <w:szCs w:val="21"/>
        </w:rPr>
        <w:t>Allan., Paola</w:t>
      </w:r>
      <w:r>
        <w:rPr>
          <w:rFonts w:eastAsia="Times New Roman"/>
          <w:spacing w:val="-22"/>
          <w:szCs w:val="21"/>
        </w:rPr>
        <w:t xml:space="preserve"> </w:t>
      </w:r>
      <w:r>
        <w:rPr>
          <w:rFonts w:eastAsia="Times New Roman"/>
          <w:spacing w:val="-1"/>
          <w:szCs w:val="21"/>
        </w:rPr>
        <w:t>A.</w:t>
      </w:r>
      <w:r>
        <w:rPr>
          <w:rFonts w:eastAsia="Times New Roman"/>
          <w:spacing w:val="-22"/>
          <w:szCs w:val="21"/>
        </w:rPr>
        <w:t xml:space="preserve"> </w:t>
      </w:r>
      <w:r>
        <w:rPr>
          <w:rFonts w:eastAsia="Times New Roman"/>
          <w:spacing w:val="-1"/>
          <w:szCs w:val="21"/>
        </w:rPr>
        <w:t>Arias., So</w:t>
      </w:r>
      <w:r>
        <w:rPr>
          <w:rFonts w:eastAsia="Times New Roman"/>
          <w:spacing w:val="-2"/>
          <w:szCs w:val="21"/>
        </w:rPr>
        <w:t>phie</w:t>
      </w:r>
      <w:r>
        <w:rPr>
          <w:rFonts w:eastAsia="Times New Roman"/>
          <w:szCs w:val="21"/>
        </w:rPr>
        <w:t xml:space="preserve"> </w:t>
      </w:r>
      <w:r>
        <w:rPr>
          <w:rFonts w:eastAsia="Times New Roman"/>
          <w:spacing w:val="-1"/>
          <w:szCs w:val="21"/>
        </w:rPr>
        <w:t>Berger.,</w:t>
      </w:r>
      <w:r>
        <w:rPr>
          <w:rFonts w:eastAsia="Times New Roman"/>
          <w:spacing w:val="33"/>
          <w:w w:val="101"/>
          <w:szCs w:val="21"/>
        </w:rPr>
        <w:t xml:space="preserve"> </w:t>
      </w:r>
      <w:r>
        <w:rPr>
          <w:rFonts w:eastAsia="Times New Roman"/>
          <w:spacing w:val="-1"/>
          <w:szCs w:val="21"/>
        </w:rPr>
        <w:t>Josep</w:t>
      </w:r>
      <w:r>
        <w:rPr>
          <w:rFonts w:eastAsia="Times New Roman"/>
          <w:spacing w:val="19"/>
          <w:szCs w:val="21"/>
        </w:rPr>
        <w:t xml:space="preserve"> </w:t>
      </w:r>
      <w:r>
        <w:rPr>
          <w:rFonts w:eastAsia="Times New Roman"/>
          <w:spacing w:val="-1"/>
          <w:szCs w:val="21"/>
        </w:rPr>
        <w:t>G.</w:t>
      </w:r>
      <w:r>
        <w:rPr>
          <w:rFonts w:eastAsia="Times New Roman"/>
          <w:spacing w:val="22"/>
          <w:w w:val="101"/>
          <w:szCs w:val="21"/>
        </w:rPr>
        <w:t xml:space="preserve"> </w:t>
      </w:r>
      <w:r>
        <w:rPr>
          <w:rFonts w:eastAsia="Times New Roman"/>
          <w:spacing w:val="-1"/>
          <w:szCs w:val="21"/>
        </w:rPr>
        <w:t>Canadell.,</w:t>
      </w:r>
      <w:r>
        <w:rPr>
          <w:rFonts w:eastAsia="Times New Roman"/>
          <w:spacing w:val="24"/>
          <w:w w:val="101"/>
          <w:szCs w:val="21"/>
        </w:rPr>
        <w:t xml:space="preserve"> </w:t>
      </w:r>
      <w:r>
        <w:rPr>
          <w:rFonts w:eastAsia="Times New Roman"/>
          <w:spacing w:val="-1"/>
          <w:szCs w:val="21"/>
        </w:rPr>
        <w:t>Christophe</w:t>
      </w:r>
      <w:r>
        <w:rPr>
          <w:rFonts w:eastAsia="Times New Roman"/>
          <w:spacing w:val="22"/>
          <w:szCs w:val="21"/>
        </w:rPr>
        <w:t xml:space="preserve"> </w:t>
      </w:r>
      <w:r>
        <w:rPr>
          <w:rFonts w:eastAsia="Times New Roman"/>
          <w:spacing w:val="-1"/>
          <w:szCs w:val="21"/>
        </w:rPr>
        <w:t>Cassou.,</w:t>
      </w:r>
      <w:r>
        <w:rPr>
          <w:rFonts w:eastAsia="Times New Roman"/>
          <w:spacing w:val="17"/>
          <w:w w:val="101"/>
          <w:szCs w:val="21"/>
        </w:rPr>
        <w:t xml:space="preserve"> </w:t>
      </w:r>
      <w:r>
        <w:rPr>
          <w:rFonts w:eastAsia="Times New Roman"/>
          <w:spacing w:val="-1"/>
          <w:szCs w:val="21"/>
        </w:rPr>
        <w:t>Deliang</w:t>
      </w:r>
      <w:r>
        <w:rPr>
          <w:rFonts w:eastAsia="Times New Roman"/>
          <w:spacing w:val="24"/>
          <w:w w:val="101"/>
          <w:szCs w:val="21"/>
        </w:rPr>
        <w:t xml:space="preserve"> </w:t>
      </w:r>
      <w:r>
        <w:rPr>
          <w:rFonts w:eastAsia="Times New Roman"/>
          <w:spacing w:val="-1"/>
          <w:szCs w:val="21"/>
        </w:rPr>
        <w:t>Chen., Annalisa</w:t>
      </w:r>
      <w:r>
        <w:rPr>
          <w:rFonts w:eastAsia="Times New Roman"/>
          <w:spacing w:val="21"/>
          <w:w w:val="101"/>
          <w:szCs w:val="21"/>
        </w:rPr>
        <w:t xml:space="preserve"> </w:t>
      </w:r>
      <w:r>
        <w:rPr>
          <w:rFonts w:eastAsia="Times New Roman"/>
          <w:spacing w:val="-1"/>
          <w:szCs w:val="21"/>
        </w:rPr>
        <w:t>Cherchi.,</w:t>
      </w:r>
      <w:r>
        <w:rPr>
          <w:rFonts w:eastAsia="Times New Roman"/>
          <w:spacing w:val="25"/>
          <w:w w:val="101"/>
          <w:szCs w:val="21"/>
        </w:rPr>
        <w:t xml:space="preserve"> </w:t>
      </w:r>
      <w:r>
        <w:rPr>
          <w:rFonts w:eastAsia="Times New Roman"/>
          <w:spacing w:val="-1"/>
          <w:szCs w:val="21"/>
        </w:rPr>
        <w:t>Sarah</w:t>
      </w:r>
      <w:r>
        <w:rPr>
          <w:rFonts w:eastAsia="Times New Roman"/>
          <w:spacing w:val="18"/>
          <w:w w:val="101"/>
          <w:szCs w:val="21"/>
        </w:rPr>
        <w:t xml:space="preserve"> </w:t>
      </w:r>
      <w:r>
        <w:rPr>
          <w:rFonts w:eastAsia="Times New Roman"/>
          <w:spacing w:val="-1"/>
          <w:szCs w:val="21"/>
        </w:rPr>
        <w:t>L.</w:t>
      </w:r>
      <w:r>
        <w:rPr>
          <w:rFonts w:eastAsia="Times New Roman"/>
          <w:spacing w:val="22"/>
          <w:w w:val="101"/>
          <w:szCs w:val="21"/>
        </w:rPr>
        <w:t xml:space="preserve"> </w:t>
      </w:r>
      <w:r>
        <w:rPr>
          <w:rFonts w:eastAsia="Times New Roman"/>
          <w:spacing w:val="-1"/>
          <w:szCs w:val="21"/>
        </w:rPr>
        <w:t>Connors.,</w:t>
      </w:r>
      <w:r>
        <w:rPr>
          <w:rFonts w:eastAsia="Times New Roman"/>
          <w:spacing w:val="18"/>
          <w:w w:val="101"/>
          <w:szCs w:val="21"/>
        </w:rPr>
        <w:t xml:space="preserve"> </w:t>
      </w:r>
      <w:r>
        <w:rPr>
          <w:rFonts w:eastAsia="Times New Roman"/>
          <w:spacing w:val="-1"/>
          <w:szCs w:val="21"/>
        </w:rPr>
        <w:t>Erika</w:t>
      </w:r>
      <w:r>
        <w:rPr>
          <w:rFonts w:eastAsia="Times New Roman"/>
          <w:szCs w:val="21"/>
        </w:rPr>
        <w:t xml:space="preserve"> Coppola., Faye</w:t>
      </w:r>
      <w:r>
        <w:rPr>
          <w:rFonts w:eastAsia="Times New Roman"/>
          <w:spacing w:val="-10"/>
          <w:szCs w:val="21"/>
        </w:rPr>
        <w:t xml:space="preserve"> </w:t>
      </w:r>
      <w:r>
        <w:rPr>
          <w:rFonts w:eastAsia="Times New Roman"/>
          <w:szCs w:val="21"/>
        </w:rPr>
        <w:t>Abigail Cruz., et al, Cambridge University Press 2021, pp 7SM24-35</w:t>
      </w:r>
    </w:p>
    <w:sectPr>
      <w:pgSz w:w="11906" w:h="16838"/>
      <w:pgMar w:top="1021" w:right="1134" w:bottom="1021" w:left="1021" w:header="1134" w:footer="1134" w:gutter="0"/>
      <w:cols w:space="425" w:num="1"/>
      <w:formProt w:val="0"/>
      <w:titlePg/>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大黑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94D6B">
    <w:pPr>
      <w:pStyle w:val="20"/>
      <w:tabs>
        <w:tab w:val="center" w:pos="4153"/>
        <w:tab w:val="right" w:pos="8306"/>
      </w:tabs>
      <w:jc w:val="right"/>
    </w:pPr>
  </w:p>
  <w:p w14:paraId="5DFEA095">
    <w:pPr>
      <w:pStyle w:val="20"/>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F6AD8">
    <w:pPr>
      <w:pStyle w:val="20"/>
      <w:jc w:val="center"/>
      <w:rPr>
        <w:color w:val="FFFFFF"/>
      </w:rP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DF5940">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78DF5940">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4817734F">
    <w:pPr>
      <w:pStyle w:val="20"/>
      <w:rPr>
        <w:color w:val="FFFFF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087E6">
    <w:pPr>
      <w:pStyle w:val="20"/>
      <w:jc w:val="center"/>
      <w:rPr>
        <w:color w:val="FFFFFF"/>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3A134">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1293A134">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7CDAAF39">
    <w:pPr>
      <w:pStyle w:val="20"/>
      <w:rPr>
        <w:color w:val="FFFFFF"/>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B2E6F">
    <w:pPr>
      <w:pStyle w:val="20"/>
      <w:jc w:val="center"/>
      <w:rPr>
        <w:color w:val="FFFFFF"/>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C5FBF2">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1DC5FBF2">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00C51991">
    <w:pPr>
      <w:pStyle w:val="20"/>
      <w:rPr>
        <w:color w:val="FFFFFF"/>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06DD3">
    <w:pPr>
      <w:pStyle w:val="20"/>
      <w:jc w:val="center"/>
      <w:rPr>
        <w:color w:val="FFFFFF"/>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00F09">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79C00F09">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153F8958">
    <w:pPr>
      <w:pStyle w:val="20"/>
      <w:rPr>
        <w:color w:val="FFFFFF"/>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5A31B">
    <w:pPr>
      <w:pStyle w:val="20"/>
      <w:jc w:val="center"/>
      <w:rPr>
        <w:color w:val="FFFFFF"/>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2BEA4">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43D2BEA4">
                    <w:pPr>
                      <w:pStyle w:val="20"/>
                    </w:pPr>
                    <w:r>
                      <w:fldChar w:fldCharType="begin"/>
                    </w:r>
                    <w:r>
                      <w:instrText xml:space="preserve"> PAGE  \* MERGEFORMAT </w:instrText>
                    </w:r>
                    <w:r>
                      <w:fldChar w:fldCharType="separate"/>
                    </w:r>
                    <w:r>
                      <w:t>2</w:t>
                    </w:r>
                    <w:r>
                      <w:fldChar w:fldCharType="end"/>
                    </w:r>
                  </w:p>
                </w:txbxContent>
              </v:textbox>
            </v:shape>
          </w:pict>
        </mc:Fallback>
      </mc:AlternateContent>
    </w:r>
  </w:p>
  <w:p w14:paraId="58B1E9F8">
    <w:pPr>
      <w:pStyle w:val="20"/>
      <w:rPr>
        <w:color w:val="FFFFFF"/>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2FD6A">
    <w:pPr>
      <w:pStyle w:val="20"/>
      <w:jc w:val="center"/>
      <w:rPr>
        <w:color w:val="000000" w:themeColor="text1"/>
        <w14:textFill>
          <w14:solidFill>
            <w14:schemeClr w14:val="tx1"/>
          </w14:solidFill>
        </w14:textFill>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D7AED">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14:paraId="6F8D7AED">
                    <w:pPr>
                      <w:pStyle w:val="20"/>
                    </w:pPr>
                    <w:r>
                      <w:fldChar w:fldCharType="begin"/>
                    </w:r>
                    <w:r>
                      <w:instrText xml:space="preserve"> PAGE  \* MERGEFORMAT </w:instrText>
                    </w:r>
                    <w:r>
                      <w:fldChar w:fldCharType="separate"/>
                    </w:r>
                    <w:r>
                      <w:t>1</w:t>
                    </w:r>
                    <w:r>
                      <w:fldChar w:fldCharType="end"/>
                    </w:r>
                  </w:p>
                </w:txbxContent>
              </v:textbox>
            </v:shape>
          </w:pict>
        </mc:Fallback>
      </mc:AlternateContent>
    </w:r>
  </w:p>
  <w:p w14:paraId="59AAA358">
    <w:pPr>
      <w:pStyle w:val="20"/>
      <w:rPr>
        <w:color w:val="000000" w:themeColor="text1"/>
        <w14:textFill>
          <w14:solidFill>
            <w14:schemeClr w14:val="tx1"/>
          </w14:solidFill>
        </w14:textFill>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753D0">
    <w:pPr>
      <w:spacing w:line="170" w:lineRule="auto"/>
      <w:ind w:left="9289"/>
      <w:rPr>
        <w:rFonts w:ascii="宋体" w:hAnsi="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32D3D9">
                          <w:pPr>
                            <w:pStyle w:val="2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2932D3D9">
                    <w:pPr>
                      <w:pStyle w:val="20"/>
                    </w:pPr>
                    <w:r>
                      <w:fldChar w:fldCharType="begin"/>
                    </w:r>
                    <w:r>
                      <w:instrText xml:space="preserve"> PAGE  \* MERGEFORMAT </w:instrText>
                    </w:r>
                    <w:r>
                      <w:fldChar w:fldCharType="separate"/>
                    </w:r>
                    <w:r>
                      <w:t>21</w:t>
                    </w:r>
                    <w:r>
                      <w:fldChar w:fldCharType="end"/>
                    </w:r>
                  </w:p>
                </w:txbxContent>
              </v:textbox>
            </v:shape>
          </w:pict>
        </mc:Fallback>
      </mc:AlternateContent>
    </w:r>
    <w:r>
      <w:rPr>
        <w:rFonts w:ascii="宋体" w:hAnsi="宋体" w:cs="宋体"/>
        <w:spacing w:val="-3"/>
        <w:sz w:val="18"/>
        <w:szCs w:val="18"/>
      </w:rPr>
      <w:t>39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00A62">
    <w:pPr>
      <w:pStyle w:val="10"/>
      <w:spacing w:line="14" w:lineRule="auto"/>
      <w:rPr>
        <w:sz w:val="2"/>
      </w:rPr>
    </w:pPr>
    <w:r>
      <w:rPr>
        <w:sz w:val="2"/>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EBDEB">
                          <w:pPr>
                            <w:pStyle w:val="20"/>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23EEBDEB">
                    <w:pPr>
                      <w:pStyle w:val="20"/>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9F4E768">
      <w:pPr>
        <w:pStyle w:val="27"/>
        <w:numPr>
          <w:ilvl w:val="0"/>
          <w:numId w:val="0"/>
        </w:numPr>
        <w:spacing w:before="312" w:after="312"/>
      </w:pPr>
      <w:r>
        <w:rPr>
          <w:rStyle w:val="43"/>
          <w:vertAlign w:val="baseline"/>
        </w:rPr>
        <w:footnoteRef/>
      </w:r>
      <w:r>
        <w:rPr>
          <w:rFonts w:hint="eastAsia"/>
        </w:rPr>
        <w:t>）</w:t>
      </w:r>
      <w:r>
        <w:t xml:space="preserve"> </w:t>
      </w:r>
      <w:r>
        <w:rPr>
          <w:rFonts w:ascii="Times New Roman"/>
        </w:rPr>
        <w:t>按产品对应标准要求进行分类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4F292">
    <w:pPr>
      <w:pStyle w:val="21"/>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926F5">
    <w:pPr>
      <w:pStyle w:val="21"/>
      <w:ind w:right="5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3747A">
    <w:pPr>
      <w:pStyle w:val="21"/>
      <w:rPr>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85225">
    <w:pPr>
      <w:pStyle w:val="21"/>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D8362"/>
    <w:multiLevelType w:val="multilevel"/>
    <w:tmpl w:val="D85D8362"/>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2096C61"/>
    <w:multiLevelType w:val="singleLevel"/>
    <w:tmpl w:val="F2096C61"/>
    <w:lvl w:ilvl="0" w:tentative="0">
      <w:start w:val="1"/>
      <w:numFmt w:val="decimal"/>
      <w:lvlText w:val="%1."/>
      <w:lvlJc w:val="left"/>
      <w:pPr>
        <w:ind w:left="425" w:hanging="425"/>
      </w:pPr>
      <w:rPr>
        <w:rFonts w:hint="default"/>
      </w:rPr>
    </w:lvl>
  </w:abstractNum>
  <w:abstractNum w:abstractNumId="2">
    <w:nsid w:val="F2EDCE51"/>
    <w:multiLevelType w:val="singleLevel"/>
    <w:tmpl w:val="F2EDCE51"/>
    <w:lvl w:ilvl="0" w:tentative="0">
      <w:start w:val="1"/>
      <w:numFmt w:val="decimal"/>
      <w:lvlText w:val="%1)"/>
      <w:lvlJc w:val="left"/>
      <w:pPr>
        <w:ind w:left="425" w:hanging="425"/>
      </w:pPr>
      <w:rPr>
        <w:rFonts w:hint="default"/>
      </w:rPr>
    </w:lvl>
  </w:abstractNum>
  <w:abstractNum w:abstractNumId="3">
    <w:nsid w:val="045C13FF"/>
    <w:multiLevelType w:val="multilevel"/>
    <w:tmpl w:val="045C13F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51C1648"/>
    <w:multiLevelType w:val="multilevel"/>
    <w:tmpl w:val="051C1648"/>
    <w:lvl w:ilvl="0" w:tentative="0">
      <w:start w:val="1"/>
      <w:numFmt w:val="lowerLetter"/>
      <w:lvlText w:val="%1)"/>
      <w:lvlJc w:val="left"/>
      <w:pPr>
        <w:ind w:left="0" w:firstLine="0"/>
      </w:pPr>
      <w:rPr>
        <w:rFonts w:hint="eastAsia"/>
        <w:b w:val="0"/>
        <w:i w:val="0"/>
        <w:sz w:val="21"/>
        <w:szCs w:val="21"/>
      </w:rPr>
    </w:lvl>
    <w:lvl w:ilvl="1" w:tentative="0">
      <w:start w:val="1"/>
      <w:numFmt w:val="decimal"/>
      <w:suff w:val="nothing"/>
      <w:lvlText w:val="%1.%2　"/>
      <w:lvlJc w:val="left"/>
      <w:pPr>
        <w:ind w:left="538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27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1D90B392"/>
    <w:multiLevelType w:val="multilevel"/>
    <w:tmpl w:val="1D90B392"/>
    <w:lvl w:ilvl="0" w:tentative="0">
      <w:start w:val="1"/>
      <w:numFmt w:val="decimal"/>
      <w:suff w:val="nothing"/>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1DBF583A"/>
    <w:multiLevelType w:val="multilevel"/>
    <w:tmpl w:val="1DBF583A"/>
    <w:lvl w:ilvl="0" w:tentative="0">
      <w:start w:val="1"/>
      <w:numFmt w:val="decimal"/>
      <w:pStyle w:val="71"/>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7">
    <w:nsid w:val="1FC91163"/>
    <w:multiLevelType w:val="multilevel"/>
    <w:tmpl w:val="1FC91163"/>
    <w:lvl w:ilvl="0" w:tentative="0">
      <w:start w:val="1"/>
      <w:numFmt w:val="decimal"/>
      <w:pStyle w:val="49"/>
      <w:suff w:val="nothing"/>
      <w:lvlText w:val="%1　"/>
      <w:lvlJc w:val="left"/>
      <w:rPr>
        <w:rFonts w:hint="eastAsia" w:ascii="黑体" w:hAnsi="Times New Roman" w:eastAsia="黑体" w:cs="Times New Roman"/>
        <w:b w:val="0"/>
        <w:i w:val="0"/>
        <w:color w:val="000000"/>
        <w:sz w:val="21"/>
        <w:szCs w:val="21"/>
      </w:rPr>
    </w:lvl>
    <w:lvl w:ilvl="1" w:tentative="0">
      <w:start w:val="1"/>
      <w:numFmt w:val="decimal"/>
      <w:pStyle w:val="4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8">
    <w:nsid w:val="266E125D"/>
    <w:multiLevelType w:val="multilevel"/>
    <w:tmpl w:val="266E125D"/>
    <w:lvl w:ilvl="0" w:tentative="0">
      <w:start w:val="1"/>
      <w:numFmt w:val="lowerLetter"/>
      <w:lvlText w:val="%1)"/>
      <w:lvlJc w:val="left"/>
      <w:pPr>
        <w:ind w:left="0" w:firstLine="0"/>
      </w:pPr>
      <w:rPr>
        <w:rFonts w:hint="eastAsia"/>
        <w:b w:val="0"/>
        <w:i w:val="0"/>
        <w:sz w:val="21"/>
        <w:szCs w:val="21"/>
      </w:rPr>
    </w:lvl>
    <w:lvl w:ilvl="1" w:tentative="0">
      <w:start w:val="1"/>
      <w:numFmt w:val="decimal"/>
      <w:suff w:val="nothing"/>
      <w:lvlText w:val="%1.%2　"/>
      <w:lvlJc w:val="left"/>
      <w:pPr>
        <w:ind w:left="538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27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104"/>
      <w:suff w:val="space"/>
      <w:lvlText w:val="%1"/>
      <w:lvlJc w:val="left"/>
      <w:pPr>
        <w:ind w:left="623" w:hanging="425"/>
      </w:pPr>
      <w:rPr>
        <w:rFonts w:hint="eastAsia" w:cs="Times New Roman"/>
      </w:rPr>
    </w:lvl>
    <w:lvl w:ilvl="1" w:tentative="0">
      <w:start w:val="1"/>
      <w:numFmt w:val="decimal"/>
      <w:pStyle w:val="105"/>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10">
    <w:nsid w:val="2C5917C3"/>
    <w:multiLevelType w:val="multilevel"/>
    <w:tmpl w:val="2C5917C3"/>
    <w:lvl w:ilvl="0" w:tentative="0">
      <w:start w:val="1"/>
      <w:numFmt w:val="none"/>
      <w:pStyle w:val="52"/>
      <w:suff w:val="nothing"/>
      <w:lvlText w:val="%1——"/>
      <w:lvlJc w:val="left"/>
      <w:pPr>
        <w:ind w:left="833" w:hanging="408"/>
      </w:pPr>
      <w:rPr>
        <w:rFonts w:hint="eastAsia" w:cs="Times New Roman"/>
      </w:rPr>
    </w:lvl>
    <w:lvl w:ilvl="1" w:tentative="0">
      <w:start w:val="1"/>
      <w:numFmt w:val="bullet"/>
      <w:pStyle w:val="53"/>
      <w:lvlText w:val=""/>
      <w:lvlJc w:val="left"/>
      <w:pPr>
        <w:tabs>
          <w:tab w:val="left" w:pos="760"/>
        </w:tabs>
        <w:ind w:left="1264" w:hanging="413"/>
      </w:pPr>
      <w:rPr>
        <w:rFonts w:hint="default" w:ascii="Symbol" w:hAnsi="Symbol"/>
        <w:color w:val="auto"/>
      </w:rPr>
    </w:lvl>
    <w:lvl w:ilvl="2" w:tentative="0">
      <w:start w:val="1"/>
      <w:numFmt w:val="bullet"/>
      <w:pStyle w:val="6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1">
    <w:nsid w:val="3A1452D4"/>
    <w:multiLevelType w:val="multilevel"/>
    <w:tmpl w:val="3A1452D4"/>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733618"/>
    <w:multiLevelType w:val="multilevel"/>
    <w:tmpl w:val="3D733618"/>
    <w:lvl w:ilvl="0" w:tentative="0">
      <w:start w:val="1"/>
      <w:numFmt w:val="decimal"/>
      <w:pStyle w:val="27"/>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3">
    <w:nsid w:val="44C50F90"/>
    <w:multiLevelType w:val="multilevel"/>
    <w:tmpl w:val="44C50F90"/>
    <w:lvl w:ilvl="0" w:tentative="0">
      <w:start w:val="1"/>
      <w:numFmt w:val="lowerLetter"/>
      <w:pStyle w:val="65"/>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58"/>
      <w:lvlText w:val="%2)"/>
      <w:lvlJc w:val="left"/>
      <w:pPr>
        <w:tabs>
          <w:tab w:val="left" w:pos="1260"/>
        </w:tabs>
        <w:ind w:left="1259" w:hanging="419"/>
      </w:pPr>
      <w:rPr>
        <w:rFonts w:hint="eastAsia" w:cs="Times New Roman"/>
      </w:rPr>
    </w:lvl>
    <w:lvl w:ilvl="2" w:tentative="0">
      <w:start w:val="1"/>
      <w:numFmt w:val="decimal"/>
      <w:pStyle w:val="67"/>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4">
    <w:nsid w:val="47C5AF90"/>
    <w:multiLevelType w:val="multilevel"/>
    <w:tmpl w:val="47C5AF9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532554A7"/>
    <w:multiLevelType w:val="singleLevel"/>
    <w:tmpl w:val="532554A7"/>
    <w:lvl w:ilvl="0" w:tentative="0">
      <w:start w:val="1"/>
      <w:numFmt w:val="decimal"/>
      <w:lvlText w:val="%1)"/>
      <w:lvlJc w:val="left"/>
      <w:pPr>
        <w:ind w:left="425" w:hanging="425"/>
      </w:pPr>
      <w:rPr>
        <w:rFonts w:hint="default"/>
      </w:rPr>
    </w:lvl>
  </w:abstractNum>
  <w:abstractNum w:abstractNumId="16">
    <w:nsid w:val="60B55DC2"/>
    <w:multiLevelType w:val="multilevel"/>
    <w:tmpl w:val="60B55DC2"/>
    <w:lvl w:ilvl="0" w:tentative="0">
      <w:start w:val="1"/>
      <w:numFmt w:val="upperLetter"/>
      <w:pStyle w:val="92"/>
      <w:lvlText w:val="%1"/>
      <w:lvlJc w:val="left"/>
      <w:pPr>
        <w:tabs>
          <w:tab w:val="left" w:pos="0"/>
        </w:tabs>
        <w:ind w:hanging="425"/>
      </w:pPr>
      <w:rPr>
        <w:rFonts w:hint="eastAsia" w:cs="Times New Roman"/>
      </w:rPr>
    </w:lvl>
    <w:lvl w:ilvl="1" w:tentative="0">
      <w:start w:val="1"/>
      <w:numFmt w:val="decimal"/>
      <w:pStyle w:val="93"/>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7">
    <w:nsid w:val="645D8B44"/>
    <w:multiLevelType w:val="singleLevel"/>
    <w:tmpl w:val="645D8B44"/>
    <w:lvl w:ilvl="0" w:tentative="0">
      <w:start w:val="1"/>
      <w:numFmt w:val="decimal"/>
      <w:lvlText w:val="%1)"/>
      <w:lvlJc w:val="left"/>
      <w:pPr>
        <w:ind w:left="425" w:hanging="425"/>
      </w:pPr>
      <w:rPr>
        <w:rFonts w:hint="default"/>
      </w:rPr>
    </w:lvl>
  </w:abstractNum>
  <w:abstractNum w:abstractNumId="18">
    <w:nsid w:val="657D3FBC"/>
    <w:multiLevelType w:val="multilevel"/>
    <w:tmpl w:val="657D3FBC"/>
    <w:lvl w:ilvl="0" w:tentative="0">
      <w:start w:val="1"/>
      <w:numFmt w:val="upperLetter"/>
      <w:pStyle w:val="90"/>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08"/>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109"/>
      <w:suff w:val="nothing"/>
      <w:lvlText w:val="%1.%2.%3　"/>
      <w:lvlJc w:val="left"/>
      <w:rPr>
        <w:rFonts w:hint="eastAsia" w:ascii="黑体" w:hAnsi="Times New Roman" w:eastAsia="黑体" w:cs="Times New Roman"/>
        <w:b w:val="0"/>
        <w:i w:val="0"/>
        <w:sz w:val="21"/>
      </w:rPr>
    </w:lvl>
    <w:lvl w:ilvl="3" w:tentative="0">
      <w:start w:val="1"/>
      <w:numFmt w:val="decimal"/>
      <w:pStyle w:val="94"/>
      <w:suff w:val="nothing"/>
      <w:lvlText w:val="%1.%2.%3.%4　"/>
      <w:lvlJc w:val="left"/>
      <w:rPr>
        <w:rFonts w:hint="eastAsia" w:ascii="黑体" w:hAnsi="Times New Roman" w:eastAsia="黑体" w:cs="Times New Roman"/>
        <w:b w:val="0"/>
        <w:i w:val="0"/>
        <w:sz w:val="21"/>
      </w:rPr>
    </w:lvl>
    <w:lvl w:ilvl="4" w:tentative="0">
      <w:start w:val="1"/>
      <w:numFmt w:val="decimal"/>
      <w:pStyle w:val="99"/>
      <w:suff w:val="nothing"/>
      <w:lvlText w:val="%1.%2.%3.%4.%5　"/>
      <w:lvlJc w:val="left"/>
      <w:rPr>
        <w:rFonts w:hint="eastAsia" w:ascii="黑体" w:hAnsi="Times New Roman" w:eastAsia="黑体" w:cs="Times New Roman"/>
        <w:b w:val="0"/>
        <w:i w:val="0"/>
        <w:sz w:val="21"/>
      </w:rPr>
    </w:lvl>
    <w:lvl w:ilvl="5" w:tentative="0">
      <w:start w:val="1"/>
      <w:numFmt w:val="decimal"/>
      <w:pStyle w:val="102"/>
      <w:suff w:val="nothing"/>
      <w:lvlText w:val="%1.%2.%3.%4.%5.%6　"/>
      <w:lvlJc w:val="left"/>
      <w:rPr>
        <w:rFonts w:hint="eastAsia" w:ascii="黑体" w:hAnsi="Times New Roman" w:eastAsia="黑体" w:cs="Times New Roman"/>
        <w:b w:val="0"/>
        <w:i w:val="0"/>
        <w:sz w:val="21"/>
      </w:rPr>
    </w:lvl>
    <w:lvl w:ilvl="6" w:tentative="0">
      <w:start w:val="1"/>
      <w:numFmt w:val="decimal"/>
      <w:pStyle w:val="106"/>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9">
    <w:nsid w:val="6D6C07CD"/>
    <w:multiLevelType w:val="multilevel"/>
    <w:tmpl w:val="6D6C07CD"/>
    <w:lvl w:ilvl="0" w:tentative="0">
      <w:start w:val="1"/>
      <w:numFmt w:val="lowerLetter"/>
      <w:pStyle w:val="111"/>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1"/>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0">
    <w:nsid w:val="6DFA1C03"/>
    <w:multiLevelType w:val="multilevel"/>
    <w:tmpl w:val="6DFA1C0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2"/>
  </w:num>
  <w:num w:numId="2">
    <w:abstractNumId w:val="7"/>
  </w:num>
  <w:num w:numId="3">
    <w:abstractNumId w:val="10"/>
  </w:num>
  <w:num w:numId="4">
    <w:abstractNumId w:val="13"/>
  </w:num>
  <w:num w:numId="5">
    <w:abstractNumId w:val="6"/>
  </w:num>
  <w:num w:numId="6">
    <w:abstractNumId w:val="18"/>
  </w:num>
  <w:num w:numId="7">
    <w:abstractNumId w:val="16"/>
  </w:num>
  <w:num w:numId="8">
    <w:abstractNumId w:val="19"/>
  </w:num>
  <w:num w:numId="9">
    <w:abstractNumId w:val="9"/>
  </w:num>
  <w:num w:numId="10">
    <w:abstractNumId w:val="20"/>
  </w:num>
  <w:num w:numId="11">
    <w:abstractNumId w:val="5"/>
  </w:num>
  <w:num w:numId="12">
    <w:abstractNumId w:val="0"/>
  </w:num>
  <w:num w:numId="13">
    <w:abstractNumId w:val="15"/>
  </w:num>
  <w:num w:numId="14">
    <w:abstractNumId w:val="2"/>
  </w:num>
  <w:num w:numId="15">
    <w:abstractNumId w:val="17"/>
  </w:num>
  <w:num w:numId="16">
    <w:abstractNumId w:val="11"/>
  </w:num>
  <w:num w:numId="17">
    <w:abstractNumId w:val="8"/>
  </w:num>
  <w:num w:numId="18">
    <w:abstractNumId w:val="14"/>
  </w:num>
  <w:num w:numId="19">
    <w:abstractNumId w:val="4"/>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noPunctuationKerning w:val="1"/>
  <w:characterSpacingControl w:val="doNotCompress"/>
  <w:noLineBreaksAfter w:lang="zh-CN" w:val="$([{£¥·‘“〈《「『【〔〖〝﹙﹛﹝＄（．［｛￡￥"/>
  <w:noLineBreaksBefore w:lang="zh-CN" w:val="!%),.:;&gt;?]}¢¨°·ˇˉ―‖’”…‰′″›℃∶、。〃〉》」』】〕〗〞︶︺︾﹀﹄﹚﹜﹞！＂％＇），．：；？］｀｜｝～￠"/>
  <w:footnotePr>
    <w:footnote w:id="2"/>
    <w:footnote w:id="3"/>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035925"/>
    <w:rsid w:val="00000244"/>
    <w:rsid w:val="0000185F"/>
    <w:rsid w:val="00002ACD"/>
    <w:rsid w:val="00003EBE"/>
    <w:rsid w:val="0000586F"/>
    <w:rsid w:val="00013265"/>
    <w:rsid w:val="00013D86"/>
    <w:rsid w:val="00013E02"/>
    <w:rsid w:val="0001552E"/>
    <w:rsid w:val="0002143C"/>
    <w:rsid w:val="00021B0F"/>
    <w:rsid w:val="00022C39"/>
    <w:rsid w:val="00023859"/>
    <w:rsid w:val="00025105"/>
    <w:rsid w:val="00025A65"/>
    <w:rsid w:val="00025DE8"/>
    <w:rsid w:val="000268BB"/>
    <w:rsid w:val="00026C31"/>
    <w:rsid w:val="00027280"/>
    <w:rsid w:val="000320A7"/>
    <w:rsid w:val="00032114"/>
    <w:rsid w:val="0003454A"/>
    <w:rsid w:val="00035925"/>
    <w:rsid w:val="00037AC0"/>
    <w:rsid w:val="00042747"/>
    <w:rsid w:val="000431E4"/>
    <w:rsid w:val="000436ED"/>
    <w:rsid w:val="0005649B"/>
    <w:rsid w:val="00056DCE"/>
    <w:rsid w:val="000573E7"/>
    <w:rsid w:val="000606E0"/>
    <w:rsid w:val="000649DD"/>
    <w:rsid w:val="00064D1D"/>
    <w:rsid w:val="0006586F"/>
    <w:rsid w:val="00067CDF"/>
    <w:rsid w:val="00070718"/>
    <w:rsid w:val="000711A9"/>
    <w:rsid w:val="000725CF"/>
    <w:rsid w:val="00072CB2"/>
    <w:rsid w:val="0007321C"/>
    <w:rsid w:val="000742DA"/>
    <w:rsid w:val="00074FBE"/>
    <w:rsid w:val="00081364"/>
    <w:rsid w:val="00081B7B"/>
    <w:rsid w:val="00082E4F"/>
    <w:rsid w:val="00083439"/>
    <w:rsid w:val="00083A09"/>
    <w:rsid w:val="00085DB2"/>
    <w:rsid w:val="0009005E"/>
    <w:rsid w:val="00090C76"/>
    <w:rsid w:val="00091078"/>
    <w:rsid w:val="00092857"/>
    <w:rsid w:val="000960B0"/>
    <w:rsid w:val="00096839"/>
    <w:rsid w:val="00097BC0"/>
    <w:rsid w:val="000A0630"/>
    <w:rsid w:val="000A20A9"/>
    <w:rsid w:val="000A48B1"/>
    <w:rsid w:val="000A49BC"/>
    <w:rsid w:val="000A6993"/>
    <w:rsid w:val="000B0A1A"/>
    <w:rsid w:val="000B17E0"/>
    <w:rsid w:val="000B3143"/>
    <w:rsid w:val="000C526D"/>
    <w:rsid w:val="000C6B05"/>
    <w:rsid w:val="000C6DD6"/>
    <w:rsid w:val="000C73D4"/>
    <w:rsid w:val="000C7766"/>
    <w:rsid w:val="000D3040"/>
    <w:rsid w:val="000D33A4"/>
    <w:rsid w:val="000D3D4C"/>
    <w:rsid w:val="000D4057"/>
    <w:rsid w:val="000D4703"/>
    <w:rsid w:val="000D4986"/>
    <w:rsid w:val="000D4F51"/>
    <w:rsid w:val="000D6EDE"/>
    <w:rsid w:val="000D718B"/>
    <w:rsid w:val="000E0C46"/>
    <w:rsid w:val="000E1137"/>
    <w:rsid w:val="000E5730"/>
    <w:rsid w:val="000F030C"/>
    <w:rsid w:val="000F0616"/>
    <w:rsid w:val="000F129C"/>
    <w:rsid w:val="000F2682"/>
    <w:rsid w:val="000F26E5"/>
    <w:rsid w:val="000F6B24"/>
    <w:rsid w:val="00101890"/>
    <w:rsid w:val="00103885"/>
    <w:rsid w:val="0010538F"/>
    <w:rsid w:val="001056DE"/>
    <w:rsid w:val="001124C0"/>
    <w:rsid w:val="0012308F"/>
    <w:rsid w:val="00126206"/>
    <w:rsid w:val="00130A63"/>
    <w:rsid w:val="00130DFB"/>
    <w:rsid w:val="0013175F"/>
    <w:rsid w:val="0013456D"/>
    <w:rsid w:val="00136A38"/>
    <w:rsid w:val="001373A6"/>
    <w:rsid w:val="00137823"/>
    <w:rsid w:val="00142D2C"/>
    <w:rsid w:val="00144828"/>
    <w:rsid w:val="00146842"/>
    <w:rsid w:val="00146ADD"/>
    <w:rsid w:val="00146BF8"/>
    <w:rsid w:val="0015032E"/>
    <w:rsid w:val="00150DD4"/>
    <w:rsid w:val="001512B4"/>
    <w:rsid w:val="00152A56"/>
    <w:rsid w:val="00153240"/>
    <w:rsid w:val="00161FBD"/>
    <w:rsid w:val="001620A5"/>
    <w:rsid w:val="00164E53"/>
    <w:rsid w:val="00164F78"/>
    <w:rsid w:val="00165485"/>
    <w:rsid w:val="0016699D"/>
    <w:rsid w:val="00175159"/>
    <w:rsid w:val="00175485"/>
    <w:rsid w:val="001756C6"/>
    <w:rsid w:val="00176208"/>
    <w:rsid w:val="00176C14"/>
    <w:rsid w:val="00176DCB"/>
    <w:rsid w:val="0018016F"/>
    <w:rsid w:val="00181759"/>
    <w:rsid w:val="0018211B"/>
    <w:rsid w:val="00182E31"/>
    <w:rsid w:val="0018401B"/>
    <w:rsid w:val="001840D3"/>
    <w:rsid w:val="00185487"/>
    <w:rsid w:val="00186FD5"/>
    <w:rsid w:val="001900F8"/>
    <w:rsid w:val="00191258"/>
    <w:rsid w:val="001914AB"/>
    <w:rsid w:val="00191885"/>
    <w:rsid w:val="0019245A"/>
    <w:rsid w:val="00192680"/>
    <w:rsid w:val="00193037"/>
    <w:rsid w:val="00193A2C"/>
    <w:rsid w:val="00193B0A"/>
    <w:rsid w:val="00194167"/>
    <w:rsid w:val="001A288E"/>
    <w:rsid w:val="001A5063"/>
    <w:rsid w:val="001A5A69"/>
    <w:rsid w:val="001A67B5"/>
    <w:rsid w:val="001B31C4"/>
    <w:rsid w:val="001B3368"/>
    <w:rsid w:val="001B38B0"/>
    <w:rsid w:val="001B3F40"/>
    <w:rsid w:val="001B454E"/>
    <w:rsid w:val="001B6DC2"/>
    <w:rsid w:val="001C02C7"/>
    <w:rsid w:val="001C149C"/>
    <w:rsid w:val="001C21AC"/>
    <w:rsid w:val="001C47BA"/>
    <w:rsid w:val="001C59EA"/>
    <w:rsid w:val="001C6CD8"/>
    <w:rsid w:val="001D1AB5"/>
    <w:rsid w:val="001D1E5C"/>
    <w:rsid w:val="001D2AED"/>
    <w:rsid w:val="001D406C"/>
    <w:rsid w:val="001D41EE"/>
    <w:rsid w:val="001D7336"/>
    <w:rsid w:val="001E0380"/>
    <w:rsid w:val="001E0D42"/>
    <w:rsid w:val="001E13B1"/>
    <w:rsid w:val="001E6A85"/>
    <w:rsid w:val="001F2FEF"/>
    <w:rsid w:val="001F316C"/>
    <w:rsid w:val="001F3A19"/>
    <w:rsid w:val="001F49A3"/>
    <w:rsid w:val="001F7EEA"/>
    <w:rsid w:val="00203796"/>
    <w:rsid w:val="002040F4"/>
    <w:rsid w:val="002054B8"/>
    <w:rsid w:val="00205528"/>
    <w:rsid w:val="00210D73"/>
    <w:rsid w:val="00211DE8"/>
    <w:rsid w:val="0021483F"/>
    <w:rsid w:val="00216564"/>
    <w:rsid w:val="00220689"/>
    <w:rsid w:val="0023431B"/>
    <w:rsid w:val="00234467"/>
    <w:rsid w:val="0023568E"/>
    <w:rsid w:val="00237D8D"/>
    <w:rsid w:val="002401CA"/>
    <w:rsid w:val="0024160A"/>
    <w:rsid w:val="00241DA2"/>
    <w:rsid w:val="0024341D"/>
    <w:rsid w:val="002435D2"/>
    <w:rsid w:val="002437FF"/>
    <w:rsid w:val="00247FEE"/>
    <w:rsid w:val="00250E7D"/>
    <w:rsid w:val="00255300"/>
    <w:rsid w:val="002565D5"/>
    <w:rsid w:val="00256D37"/>
    <w:rsid w:val="00256FA5"/>
    <w:rsid w:val="00257130"/>
    <w:rsid w:val="00257BB3"/>
    <w:rsid w:val="00261F78"/>
    <w:rsid w:val="002622C0"/>
    <w:rsid w:val="00272DC5"/>
    <w:rsid w:val="00273DE0"/>
    <w:rsid w:val="002767B0"/>
    <w:rsid w:val="002774CA"/>
    <w:rsid w:val="002778AE"/>
    <w:rsid w:val="0028269A"/>
    <w:rsid w:val="00283590"/>
    <w:rsid w:val="00285957"/>
    <w:rsid w:val="00286973"/>
    <w:rsid w:val="00286DEC"/>
    <w:rsid w:val="002930A8"/>
    <w:rsid w:val="00294E70"/>
    <w:rsid w:val="00297FE5"/>
    <w:rsid w:val="002A0B0A"/>
    <w:rsid w:val="002A17A0"/>
    <w:rsid w:val="002A1924"/>
    <w:rsid w:val="002A1C1F"/>
    <w:rsid w:val="002A4CD2"/>
    <w:rsid w:val="002A547B"/>
    <w:rsid w:val="002A668A"/>
    <w:rsid w:val="002A7420"/>
    <w:rsid w:val="002B07D9"/>
    <w:rsid w:val="002B0F12"/>
    <w:rsid w:val="002B1308"/>
    <w:rsid w:val="002B4554"/>
    <w:rsid w:val="002B4C28"/>
    <w:rsid w:val="002B58F1"/>
    <w:rsid w:val="002B5C61"/>
    <w:rsid w:val="002B6252"/>
    <w:rsid w:val="002C3BFB"/>
    <w:rsid w:val="002C4B7C"/>
    <w:rsid w:val="002C6130"/>
    <w:rsid w:val="002C72D8"/>
    <w:rsid w:val="002D11FA"/>
    <w:rsid w:val="002D26E4"/>
    <w:rsid w:val="002D2D03"/>
    <w:rsid w:val="002D2D9B"/>
    <w:rsid w:val="002D59BE"/>
    <w:rsid w:val="002D62C9"/>
    <w:rsid w:val="002E094C"/>
    <w:rsid w:val="002E0DDF"/>
    <w:rsid w:val="002E189F"/>
    <w:rsid w:val="002E2906"/>
    <w:rsid w:val="002E2A08"/>
    <w:rsid w:val="002E5635"/>
    <w:rsid w:val="002E6472"/>
    <w:rsid w:val="002E64C3"/>
    <w:rsid w:val="002E6A2C"/>
    <w:rsid w:val="002F1D8C"/>
    <w:rsid w:val="002F21DA"/>
    <w:rsid w:val="002F2634"/>
    <w:rsid w:val="002F62FE"/>
    <w:rsid w:val="002F6578"/>
    <w:rsid w:val="00301290"/>
    <w:rsid w:val="00301F39"/>
    <w:rsid w:val="00303907"/>
    <w:rsid w:val="00311665"/>
    <w:rsid w:val="00313230"/>
    <w:rsid w:val="00316052"/>
    <w:rsid w:val="00320B66"/>
    <w:rsid w:val="0032488D"/>
    <w:rsid w:val="00325565"/>
    <w:rsid w:val="0032583B"/>
    <w:rsid w:val="00325926"/>
    <w:rsid w:val="003263AC"/>
    <w:rsid w:val="00326887"/>
    <w:rsid w:val="00327A8A"/>
    <w:rsid w:val="00334BCC"/>
    <w:rsid w:val="003352F8"/>
    <w:rsid w:val="00336610"/>
    <w:rsid w:val="003410EF"/>
    <w:rsid w:val="0034193A"/>
    <w:rsid w:val="00343F73"/>
    <w:rsid w:val="00345060"/>
    <w:rsid w:val="00346149"/>
    <w:rsid w:val="003464E0"/>
    <w:rsid w:val="003501EA"/>
    <w:rsid w:val="00352412"/>
    <w:rsid w:val="0035323B"/>
    <w:rsid w:val="003609D2"/>
    <w:rsid w:val="00363F22"/>
    <w:rsid w:val="00363FD3"/>
    <w:rsid w:val="00364F7E"/>
    <w:rsid w:val="0037112B"/>
    <w:rsid w:val="00373A97"/>
    <w:rsid w:val="00375564"/>
    <w:rsid w:val="00377BE0"/>
    <w:rsid w:val="003808BB"/>
    <w:rsid w:val="00382469"/>
    <w:rsid w:val="00383191"/>
    <w:rsid w:val="003831BA"/>
    <w:rsid w:val="00386DED"/>
    <w:rsid w:val="003906E0"/>
    <w:rsid w:val="003912E7"/>
    <w:rsid w:val="00393947"/>
    <w:rsid w:val="00396906"/>
    <w:rsid w:val="00397EDD"/>
    <w:rsid w:val="00397F6D"/>
    <w:rsid w:val="003A04BE"/>
    <w:rsid w:val="003A2275"/>
    <w:rsid w:val="003A29BC"/>
    <w:rsid w:val="003A2DE7"/>
    <w:rsid w:val="003A4F8D"/>
    <w:rsid w:val="003A525C"/>
    <w:rsid w:val="003A6A4F"/>
    <w:rsid w:val="003A7088"/>
    <w:rsid w:val="003B00DF"/>
    <w:rsid w:val="003B1275"/>
    <w:rsid w:val="003B1778"/>
    <w:rsid w:val="003B1C87"/>
    <w:rsid w:val="003B25D8"/>
    <w:rsid w:val="003B2B9A"/>
    <w:rsid w:val="003C0B76"/>
    <w:rsid w:val="003C11CB"/>
    <w:rsid w:val="003C3221"/>
    <w:rsid w:val="003C5E2D"/>
    <w:rsid w:val="003C75F3"/>
    <w:rsid w:val="003C78A3"/>
    <w:rsid w:val="003D654E"/>
    <w:rsid w:val="003D6CB2"/>
    <w:rsid w:val="003D721D"/>
    <w:rsid w:val="003E1867"/>
    <w:rsid w:val="003E2F2D"/>
    <w:rsid w:val="003E3C1D"/>
    <w:rsid w:val="003E48A7"/>
    <w:rsid w:val="003E498B"/>
    <w:rsid w:val="003E5729"/>
    <w:rsid w:val="003E592E"/>
    <w:rsid w:val="003E6531"/>
    <w:rsid w:val="003F09EC"/>
    <w:rsid w:val="003F48E3"/>
    <w:rsid w:val="003F4EE0"/>
    <w:rsid w:val="003F6470"/>
    <w:rsid w:val="003F6A5F"/>
    <w:rsid w:val="00402153"/>
    <w:rsid w:val="00402FC1"/>
    <w:rsid w:val="00405B6C"/>
    <w:rsid w:val="00405BF8"/>
    <w:rsid w:val="0042008A"/>
    <w:rsid w:val="00421491"/>
    <w:rsid w:val="00425082"/>
    <w:rsid w:val="00425F1F"/>
    <w:rsid w:val="00431DEB"/>
    <w:rsid w:val="0043563D"/>
    <w:rsid w:val="00436D75"/>
    <w:rsid w:val="004418AD"/>
    <w:rsid w:val="00445279"/>
    <w:rsid w:val="00446B29"/>
    <w:rsid w:val="00453F9A"/>
    <w:rsid w:val="0046156C"/>
    <w:rsid w:val="004618B8"/>
    <w:rsid w:val="00463626"/>
    <w:rsid w:val="004648E6"/>
    <w:rsid w:val="00465D72"/>
    <w:rsid w:val="00467C1E"/>
    <w:rsid w:val="00470E1D"/>
    <w:rsid w:val="00471E91"/>
    <w:rsid w:val="00473193"/>
    <w:rsid w:val="00474675"/>
    <w:rsid w:val="0047470C"/>
    <w:rsid w:val="0047575C"/>
    <w:rsid w:val="00480243"/>
    <w:rsid w:val="00481454"/>
    <w:rsid w:val="00484FE6"/>
    <w:rsid w:val="00486AB1"/>
    <w:rsid w:val="00496BDC"/>
    <w:rsid w:val="004974FF"/>
    <w:rsid w:val="00497527"/>
    <w:rsid w:val="004A1EC3"/>
    <w:rsid w:val="004A2C05"/>
    <w:rsid w:val="004A35F9"/>
    <w:rsid w:val="004B24C1"/>
    <w:rsid w:val="004B4417"/>
    <w:rsid w:val="004B4773"/>
    <w:rsid w:val="004B7355"/>
    <w:rsid w:val="004B73A9"/>
    <w:rsid w:val="004C292F"/>
    <w:rsid w:val="004C3957"/>
    <w:rsid w:val="004C3A80"/>
    <w:rsid w:val="004D38AF"/>
    <w:rsid w:val="004D4FA6"/>
    <w:rsid w:val="004D550D"/>
    <w:rsid w:val="004D5BF1"/>
    <w:rsid w:val="004D76C0"/>
    <w:rsid w:val="004D788D"/>
    <w:rsid w:val="004E7375"/>
    <w:rsid w:val="004F443A"/>
    <w:rsid w:val="004F6A62"/>
    <w:rsid w:val="00500371"/>
    <w:rsid w:val="005018BF"/>
    <w:rsid w:val="0050456B"/>
    <w:rsid w:val="00505366"/>
    <w:rsid w:val="00510280"/>
    <w:rsid w:val="005115BE"/>
    <w:rsid w:val="0051360F"/>
    <w:rsid w:val="00513757"/>
    <w:rsid w:val="00513D73"/>
    <w:rsid w:val="00514488"/>
    <w:rsid w:val="00514499"/>
    <w:rsid w:val="00514A43"/>
    <w:rsid w:val="00517246"/>
    <w:rsid w:val="005174E5"/>
    <w:rsid w:val="00517CBB"/>
    <w:rsid w:val="00522393"/>
    <w:rsid w:val="00522620"/>
    <w:rsid w:val="00522957"/>
    <w:rsid w:val="00525656"/>
    <w:rsid w:val="00534458"/>
    <w:rsid w:val="005345B8"/>
    <w:rsid w:val="00534C02"/>
    <w:rsid w:val="00536A49"/>
    <w:rsid w:val="00540BC4"/>
    <w:rsid w:val="0054264B"/>
    <w:rsid w:val="00543708"/>
    <w:rsid w:val="00543786"/>
    <w:rsid w:val="00544B5A"/>
    <w:rsid w:val="00551923"/>
    <w:rsid w:val="005533D7"/>
    <w:rsid w:val="00555205"/>
    <w:rsid w:val="00560F94"/>
    <w:rsid w:val="00562B8C"/>
    <w:rsid w:val="005640BD"/>
    <w:rsid w:val="0056487B"/>
    <w:rsid w:val="00564D9C"/>
    <w:rsid w:val="005703DE"/>
    <w:rsid w:val="00577688"/>
    <w:rsid w:val="00577FE8"/>
    <w:rsid w:val="0058464E"/>
    <w:rsid w:val="00587B5C"/>
    <w:rsid w:val="005916BE"/>
    <w:rsid w:val="00593376"/>
    <w:rsid w:val="005941C6"/>
    <w:rsid w:val="00595585"/>
    <w:rsid w:val="00597849"/>
    <w:rsid w:val="00597C71"/>
    <w:rsid w:val="005A0142"/>
    <w:rsid w:val="005A01CB"/>
    <w:rsid w:val="005A3260"/>
    <w:rsid w:val="005A4293"/>
    <w:rsid w:val="005A58FF"/>
    <w:rsid w:val="005A5B97"/>
    <w:rsid w:val="005A5EAF"/>
    <w:rsid w:val="005A64C0"/>
    <w:rsid w:val="005B25ED"/>
    <w:rsid w:val="005B3C11"/>
    <w:rsid w:val="005B5EAB"/>
    <w:rsid w:val="005B620A"/>
    <w:rsid w:val="005C18F6"/>
    <w:rsid w:val="005C1C28"/>
    <w:rsid w:val="005C6DB5"/>
    <w:rsid w:val="005D24E6"/>
    <w:rsid w:val="005D5975"/>
    <w:rsid w:val="005D64F3"/>
    <w:rsid w:val="005E19E7"/>
    <w:rsid w:val="005E2A84"/>
    <w:rsid w:val="005E4818"/>
    <w:rsid w:val="005E5337"/>
    <w:rsid w:val="005E6660"/>
    <w:rsid w:val="005F1CA1"/>
    <w:rsid w:val="005F5360"/>
    <w:rsid w:val="005F612B"/>
    <w:rsid w:val="00602A99"/>
    <w:rsid w:val="00611526"/>
    <w:rsid w:val="00614503"/>
    <w:rsid w:val="0061716C"/>
    <w:rsid w:val="00622557"/>
    <w:rsid w:val="006243A1"/>
    <w:rsid w:val="0063216E"/>
    <w:rsid w:val="00632E56"/>
    <w:rsid w:val="00635CBA"/>
    <w:rsid w:val="00636313"/>
    <w:rsid w:val="0063640C"/>
    <w:rsid w:val="0063646E"/>
    <w:rsid w:val="006420BE"/>
    <w:rsid w:val="0064338B"/>
    <w:rsid w:val="00646542"/>
    <w:rsid w:val="006504F4"/>
    <w:rsid w:val="0065130F"/>
    <w:rsid w:val="006527EA"/>
    <w:rsid w:val="00654BC9"/>
    <w:rsid w:val="006552FD"/>
    <w:rsid w:val="00656632"/>
    <w:rsid w:val="006567D0"/>
    <w:rsid w:val="00663AF3"/>
    <w:rsid w:val="00664304"/>
    <w:rsid w:val="00666527"/>
    <w:rsid w:val="00666B6C"/>
    <w:rsid w:val="006678F6"/>
    <w:rsid w:val="00675142"/>
    <w:rsid w:val="00677B92"/>
    <w:rsid w:val="00677EED"/>
    <w:rsid w:val="006804AD"/>
    <w:rsid w:val="006807C9"/>
    <w:rsid w:val="00680B2A"/>
    <w:rsid w:val="00682682"/>
    <w:rsid w:val="00682702"/>
    <w:rsid w:val="00683925"/>
    <w:rsid w:val="00685B2C"/>
    <w:rsid w:val="00687F25"/>
    <w:rsid w:val="00690D36"/>
    <w:rsid w:val="006918FD"/>
    <w:rsid w:val="00692368"/>
    <w:rsid w:val="00693276"/>
    <w:rsid w:val="00694796"/>
    <w:rsid w:val="00695D3C"/>
    <w:rsid w:val="006A2EBC"/>
    <w:rsid w:val="006A3465"/>
    <w:rsid w:val="006A3F17"/>
    <w:rsid w:val="006A5EA0"/>
    <w:rsid w:val="006A783B"/>
    <w:rsid w:val="006A7B33"/>
    <w:rsid w:val="006B3982"/>
    <w:rsid w:val="006B49D2"/>
    <w:rsid w:val="006B4E13"/>
    <w:rsid w:val="006B5608"/>
    <w:rsid w:val="006B75DD"/>
    <w:rsid w:val="006C0209"/>
    <w:rsid w:val="006C2EAB"/>
    <w:rsid w:val="006C67E0"/>
    <w:rsid w:val="006C7ABA"/>
    <w:rsid w:val="006D0348"/>
    <w:rsid w:val="006D0682"/>
    <w:rsid w:val="006D0D60"/>
    <w:rsid w:val="006D1122"/>
    <w:rsid w:val="006D2310"/>
    <w:rsid w:val="006D3C00"/>
    <w:rsid w:val="006D4A87"/>
    <w:rsid w:val="006D4DA4"/>
    <w:rsid w:val="006D7474"/>
    <w:rsid w:val="006E065E"/>
    <w:rsid w:val="006E3675"/>
    <w:rsid w:val="006E438B"/>
    <w:rsid w:val="006E4A7F"/>
    <w:rsid w:val="006E6A7A"/>
    <w:rsid w:val="006E6C08"/>
    <w:rsid w:val="006E7F7A"/>
    <w:rsid w:val="006F00F3"/>
    <w:rsid w:val="006F0265"/>
    <w:rsid w:val="006F0751"/>
    <w:rsid w:val="006F303A"/>
    <w:rsid w:val="006F34C6"/>
    <w:rsid w:val="006F5378"/>
    <w:rsid w:val="006F6627"/>
    <w:rsid w:val="006F7270"/>
    <w:rsid w:val="00700F90"/>
    <w:rsid w:val="00704DF6"/>
    <w:rsid w:val="00704E23"/>
    <w:rsid w:val="0070651C"/>
    <w:rsid w:val="0070696A"/>
    <w:rsid w:val="00711A07"/>
    <w:rsid w:val="00711BE6"/>
    <w:rsid w:val="00712E83"/>
    <w:rsid w:val="007132A3"/>
    <w:rsid w:val="00714089"/>
    <w:rsid w:val="007152AF"/>
    <w:rsid w:val="00716421"/>
    <w:rsid w:val="00722D42"/>
    <w:rsid w:val="00724DB3"/>
    <w:rsid w:val="00724EFB"/>
    <w:rsid w:val="00727F48"/>
    <w:rsid w:val="00732C91"/>
    <w:rsid w:val="00735DD7"/>
    <w:rsid w:val="00741719"/>
    <w:rsid w:val="007419C3"/>
    <w:rsid w:val="00743EB9"/>
    <w:rsid w:val="007467A7"/>
    <w:rsid w:val="007469DD"/>
    <w:rsid w:val="007473CD"/>
    <w:rsid w:val="0074741B"/>
    <w:rsid w:val="0074743B"/>
    <w:rsid w:val="0074759E"/>
    <w:rsid w:val="007478EA"/>
    <w:rsid w:val="007515FB"/>
    <w:rsid w:val="00751F07"/>
    <w:rsid w:val="0075415C"/>
    <w:rsid w:val="00760599"/>
    <w:rsid w:val="00760811"/>
    <w:rsid w:val="00761253"/>
    <w:rsid w:val="00762E78"/>
    <w:rsid w:val="00763502"/>
    <w:rsid w:val="00764861"/>
    <w:rsid w:val="0076496B"/>
    <w:rsid w:val="00765F34"/>
    <w:rsid w:val="00772230"/>
    <w:rsid w:val="007738FC"/>
    <w:rsid w:val="00773FE0"/>
    <w:rsid w:val="00781B69"/>
    <w:rsid w:val="0078323D"/>
    <w:rsid w:val="007852B6"/>
    <w:rsid w:val="00785828"/>
    <w:rsid w:val="007873C2"/>
    <w:rsid w:val="007913AB"/>
    <w:rsid w:val="007914F7"/>
    <w:rsid w:val="00793546"/>
    <w:rsid w:val="007939EF"/>
    <w:rsid w:val="00793B4A"/>
    <w:rsid w:val="007A09D9"/>
    <w:rsid w:val="007A2F50"/>
    <w:rsid w:val="007A589E"/>
    <w:rsid w:val="007A717F"/>
    <w:rsid w:val="007B1625"/>
    <w:rsid w:val="007B2188"/>
    <w:rsid w:val="007B2E07"/>
    <w:rsid w:val="007B306D"/>
    <w:rsid w:val="007B3AA1"/>
    <w:rsid w:val="007B45CD"/>
    <w:rsid w:val="007B5337"/>
    <w:rsid w:val="007B5427"/>
    <w:rsid w:val="007B6E5E"/>
    <w:rsid w:val="007B706E"/>
    <w:rsid w:val="007B71EB"/>
    <w:rsid w:val="007B720E"/>
    <w:rsid w:val="007C0D60"/>
    <w:rsid w:val="007C6205"/>
    <w:rsid w:val="007C686A"/>
    <w:rsid w:val="007C728E"/>
    <w:rsid w:val="007D0928"/>
    <w:rsid w:val="007D2C53"/>
    <w:rsid w:val="007D3D60"/>
    <w:rsid w:val="007D5BA9"/>
    <w:rsid w:val="007D72F4"/>
    <w:rsid w:val="007D747C"/>
    <w:rsid w:val="007E1980"/>
    <w:rsid w:val="007E4B76"/>
    <w:rsid w:val="007E5EA8"/>
    <w:rsid w:val="007F0CF1"/>
    <w:rsid w:val="007F12A5"/>
    <w:rsid w:val="007F328F"/>
    <w:rsid w:val="007F3A42"/>
    <w:rsid w:val="007F4CF1"/>
    <w:rsid w:val="007F5777"/>
    <w:rsid w:val="007F6C9F"/>
    <w:rsid w:val="007F758D"/>
    <w:rsid w:val="007F7D52"/>
    <w:rsid w:val="007F7FB7"/>
    <w:rsid w:val="008062B4"/>
    <w:rsid w:val="0080654C"/>
    <w:rsid w:val="008071C6"/>
    <w:rsid w:val="00812347"/>
    <w:rsid w:val="0081566B"/>
    <w:rsid w:val="008179B3"/>
    <w:rsid w:val="00817A00"/>
    <w:rsid w:val="00821D7A"/>
    <w:rsid w:val="00824B13"/>
    <w:rsid w:val="00833F15"/>
    <w:rsid w:val="00834B47"/>
    <w:rsid w:val="008353B4"/>
    <w:rsid w:val="00835DB3"/>
    <w:rsid w:val="0083617B"/>
    <w:rsid w:val="008371BD"/>
    <w:rsid w:val="00840D94"/>
    <w:rsid w:val="00844451"/>
    <w:rsid w:val="008500AF"/>
    <w:rsid w:val="008504A8"/>
    <w:rsid w:val="00852368"/>
    <w:rsid w:val="0085282E"/>
    <w:rsid w:val="008534D7"/>
    <w:rsid w:val="00853998"/>
    <w:rsid w:val="0085644D"/>
    <w:rsid w:val="0085673E"/>
    <w:rsid w:val="008577B8"/>
    <w:rsid w:val="00860A82"/>
    <w:rsid w:val="0086703A"/>
    <w:rsid w:val="0087198C"/>
    <w:rsid w:val="00872C1F"/>
    <w:rsid w:val="0087308E"/>
    <w:rsid w:val="00873B42"/>
    <w:rsid w:val="00874CB7"/>
    <w:rsid w:val="0087739E"/>
    <w:rsid w:val="00877DA9"/>
    <w:rsid w:val="00884341"/>
    <w:rsid w:val="008852D1"/>
    <w:rsid w:val="008856D8"/>
    <w:rsid w:val="00886AAA"/>
    <w:rsid w:val="008918B2"/>
    <w:rsid w:val="008929ED"/>
    <w:rsid w:val="00892E82"/>
    <w:rsid w:val="00893B00"/>
    <w:rsid w:val="00893BF9"/>
    <w:rsid w:val="0089585D"/>
    <w:rsid w:val="008963BB"/>
    <w:rsid w:val="008B0936"/>
    <w:rsid w:val="008B166A"/>
    <w:rsid w:val="008B1DBF"/>
    <w:rsid w:val="008B2982"/>
    <w:rsid w:val="008B3B4F"/>
    <w:rsid w:val="008B60EB"/>
    <w:rsid w:val="008B6C26"/>
    <w:rsid w:val="008C05D2"/>
    <w:rsid w:val="008C0872"/>
    <w:rsid w:val="008C13EC"/>
    <w:rsid w:val="008C1B58"/>
    <w:rsid w:val="008C2992"/>
    <w:rsid w:val="008C39AE"/>
    <w:rsid w:val="008C590D"/>
    <w:rsid w:val="008C648D"/>
    <w:rsid w:val="008C7D4A"/>
    <w:rsid w:val="008D2EF3"/>
    <w:rsid w:val="008D7E16"/>
    <w:rsid w:val="008E031B"/>
    <w:rsid w:val="008E298A"/>
    <w:rsid w:val="008E3304"/>
    <w:rsid w:val="008E7029"/>
    <w:rsid w:val="008E7EF6"/>
    <w:rsid w:val="008F1F98"/>
    <w:rsid w:val="008F24E0"/>
    <w:rsid w:val="008F2A9B"/>
    <w:rsid w:val="008F5955"/>
    <w:rsid w:val="008F59D1"/>
    <w:rsid w:val="008F6758"/>
    <w:rsid w:val="008F75EE"/>
    <w:rsid w:val="009003FA"/>
    <w:rsid w:val="0090057A"/>
    <w:rsid w:val="00900918"/>
    <w:rsid w:val="0090179F"/>
    <w:rsid w:val="00901BF9"/>
    <w:rsid w:val="00902DF8"/>
    <w:rsid w:val="00903404"/>
    <w:rsid w:val="00903BCF"/>
    <w:rsid w:val="009040DD"/>
    <w:rsid w:val="00905B47"/>
    <w:rsid w:val="0091133F"/>
    <w:rsid w:val="0091331C"/>
    <w:rsid w:val="009147F6"/>
    <w:rsid w:val="00914DB5"/>
    <w:rsid w:val="00920E53"/>
    <w:rsid w:val="009254A0"/>
    <w:rsid w:val="0092583F"/>
    <w:rsid w:val="009279DE"/>
    <w:rsid w:val="00930116"/>
    <w:rsid w:val="00930C0F"/>
    <w:rsid w:val="00933125"/>
    <w:rsid w:val="00935168"/>
    <w:rsid w:val="00935ADD"/>
    <w:rsid w:val="00936F85"/>
    <w:rsid w:val="00937B94"/>
    <w:rsid w:val="0094212C"/>
    <w:rsid w:val="00946572"/>
    <w:rsid w:val="00952D95"/>
    <w:rsid w:val="0095354A"/>
    <w:rsid w:val="00954689"/>
    <w:rsid w:val="0095536A"/>
    <w:rsid w:val="00955FA4"/>
    <w:rsid w:val="00956773"/>
    <w:rsid w:val="009617C9"/>
    <w:rsid w:val="00961C93"/>
    <w:rsid w:val="00962035"/>
    <w:rsid w:val="00962C8C"/>
    <w:rsid w:val="0096317E"/>
    <w:rsid w:val="00963E5F"/>
    <w:rsid w:val="009647DA"/>
    <w:rsid w:val="00965324"/>
    <w:rsid w:val="009664D5"/>
    <w:rsid w:val="0097091E"/>
    <w:rsid w:val="009760D3"/>
    <w:rsid w:val="009766EE"/>
    <w:rsid w:val="00976BD5"/>
    <w:rsid w:val="00976F61"/>
    <w:rsid w:val="00977132"/>
    <w:rsid w:val="00981A4B"/>
    <w:rsid w:val="00982501"/>
    <w:rsid w:val="00983E64"/>
    <w:rsid w:val="00986AFF"/>
    <w:rsid w:val="009877D3"/>
    <w:rsid w:val="009900BB"/>
    <w:rsid w:val="0099204C"/>
    <w:rsid w:val="00994486"/>
    <w:rsid w:val="00994E8F"/>
    <w:rsid w:val="009951DC"/>
    <w:rsid w:val="009959BB"/>
    <w:rsid w:val="00995A65"/>
    <w:rsid w:val="00997158"/>
    <w:rsid w:val="009A3A7C"/>
    <w:rsid w:val="009A4FCF"/>
    <w:rsid w:val="009A6C7D"/>
    <w:rsid w:val="009B0E2E"/>
    <w:rsid w:val="009B2ADB"/>
    <w:rsid w:val="009B33C3"/>
    <w:rsid w:val="009B466C"/>
    <w:rsid w:val="009B603A"/>
    <w:rsid w:val="009C2099"/>
    <w:rsid w:val="009C2D0E"/>
    <w:rsid w:val="009C3DAC"/>
    <w:rsid w:val="009C42E0"/>
    <w:rsid w:val="009C6ECD"/>
    <w:rsid w:val="009D0333"/>
    <w:rsid w:val="009D5362"/>
    <w:rsid w:val="009D7AA3"/>
    <w:rsid w:val="009E1415"/>
    <w:rsid w:val="009E2289"/>
    <w:rsid w:val="009E5E2A"/>
    <w:rsid w:val="009E6116"/>
    <w:rsid w:val="009E6B02"/>
    <w:rsid w:val="009F034A"/>
    <w:rsid w:val="009F4386"/>
    <w:rsid w:val="009F53BD"/>
    <w:rsid w:val="00A00209"/>
    <w:rsid w:val="00A0197F"/>
    <w:rsid w:val="00A01F60"/>
    <w:rsid w:val="00A02E43"/>
    <w:rsid w:val="00A065F9"/>
    <w:rsid w:val="00A07F34"/>
    <w:rsid w:val="00A10635"/>
    <w:rsid w:val="00A10F6C"/>
    <w:rsid w:val="00A1496C"/>
    <w:rsid w:val="00A22154"/>
    <w:rsid w:val="00A227A2"/>
    <w:rsid w:val="00A25C38"/>
    <w:rsid w:val="00A27B81"/>
    <w:rsid w:val="00A31FD9"/>
    <w:rsid w:val="00A32C49"/>
    <w:rsid w:val="00A359FD"/>
    <w:rsid w:val="00A36BBE"/>
    <w:rsid w:val="00A36F8C"/>
    <w:rsid w:val="00A37E8A"/>
    <w:rsid w:val="00A413D8"/>
    <w:rsid w:val="00A4307A"/>
    <w:rsid w:val="00A437B8"/>
    <w:rsid w:val="00A45EA4"/>
    <w:rsid w:val="00A4733D"/>
    <w:rsid w:val="00A47EBB"/>
    <w:rsid w:val="00A50AF1"/>
    <w:rsid w:val="00A51CDD"/>
    <w:rsid w:val="00A51F26"/>
    <w:rsid w:val="00A548F7"/>
    <w:rsid w:val="00A54ED3"/>
    <w:rsid w:val="00A57517"/>
    <w:rsid w:val="00A6730D"/>
    <w:rsid w:val="00A67C00"/>
    <w:rsid w:val="00A71608"/>
    <w:rsid w:val="00A71625"/>
    <w:rsid w:val="00A71B9B"/>
    <w:rsid w:val="00A72B32"/>
    <w:rsid w:val="00A740EE"/>
    <w:rsid w:val="00A751C7"/>
    <w:rsid w:val="00A77B90"/>
    <w:rsid w:val="00A82A62"/>
    <w:rsid w:val="00A84E69"/>
    <w:rsid w:val="00A860B9"/>
    <w:rsid w:val="00A87844"/>
    <w:rsid w:val="00A90B86"/>
    <w:rsid w:val="00A912FC"/>
    <w:rsid w:val="00A92E65"/>
    <w:rsid w:val="00A93FB7"/>
    <w:rsid w:val="00A95F5C"/>
    <w:rsid w:val="00AA038C"/>
    <w:rsid w:val="00AA1FAC"/>
    <w:rsid w:val="00AA2B97"/>
    <w:rsid w:val="00AA6697"/>
    <w:rsid w:val="00AA7181"/>
    <w:rsid w:val="00AA7A09"/>
    <w:rsid w:val="00AB09B9"/>
    <w:rsid w:val="00AB0D00"/>
    <w:rsid w:val="00AB11B3"/>
    <w:rsid w:val="00AB3B50"/>
    <w:rsid w:val="00AB5291"/>
    <w:rsid w:val="00AB6076"/>
    <w:rsid w:val="00AC05B1"/>
    <w:rsid w:val="00AC07E4"/>
    <w:rsid w:val="00AC382E"/>
    <w:rsid w:val="00AC4078"/>
    <w:rsid w:val="00AC5C57"/>
    <w:rsid w:val="00AD1B82"/>
    <w:rsid w:val="00AD356C"/>
    <w:rsid w:val="00AD5731"/>
    <w:rsid w:val="00AD76C8"/>
    <w:rsid w:val="00AE1238"/>
    <w:rsid w:val="00AE2914"/>
    <w:rsid w:val="00AE585D"/>
    <w:rsid w:val="00AE6C1A"/>
    <w:rsid w:val="00AE6D15"/>
    <w:rsid w:val="00AF2171"/>
    <w:rsid w:val="00AF6F0B"/>
    <w:rsid w:val="00AF70E0"/>
    <w:rsid w:val="00B00B83"/>
    <w:rsid w:val="00B03947"/>
    <w:rsid w:val="00B04182"/>
    <w:rsid w:val="00B06E30"/>
    <w:rsid w:val="00B07AE3"/>
    <w:rsid w:val="00B11430"/>
    <w:rsid w:val="00B11D56"/>
    <w:rsid w:val="00B1469D"/>
    <w:rsid w:val="00B1795F"/>
    <w:rsid w:val="00B17D58"/>
    <w:rsid w:val="00B21A51"/>
    <w:rsid w:val="00B220C5"/>
    <w:rsid w:val="00B2424C"/>
    <w:rsid w:val="00B24B9F"/>
    <w:rsid w:val="00B33123"/>
    <w:rsid w:val="00B34045"/>
    <w:rsid w:val="00B353EB"/>
    <w:rsid w:val="00B37CDB"/>
    <w:rsid w:val="00B40AAF"/>
    <w:rsid w:val="00B4302B"/>
    <w:rsid w:val="00B439C4"/>
    <w:rsid w:val="00B4535E"/>
    <w:rsid w:val="00B501D7"/>
    <w:rsid w:val="00B52A8C"/>
    <w:rsid w:val="00B53E39"/>
    <w:rsid w:val="00B550C1"/>
    <w:rsid w:val="00B55C14"/>
    <w:rsid w:val="00B56A1B"/>
    <w:rsid w:val="00B60179"/>
    <w:rsid w:val="00B636A8"/>
    <w:rsid w:val="00B64561"/>
    <w:rsid w:val="00B665C6"/>
    <w:rsid w:val="00B66928"/>
    <w:rsid w:val="00B707D8"/>
    <w:rsid w:val="00B76AFC"/>
    <w:rsid w:val="00B779E1"/>
    <w:rsid w:val="00B805AF"/>
    <w:rsid w:val="00B8071C"/>
    <w:rsid w:val="00B84FAF"/>
    <w:rsid w:val="00B869EC"/>
    <w:rsid w:val="00B925AB"/>
    <w:rsid w:val="00B9397A"/>
    <w:rsid w:val="00B9633D"/>
    <w:rsid w:val="00B97EFA"/>
    <w:rsid w:val="00BA12FB"/>
    <w:rsid w:val="00BA2EBE"/>
    <w:rsid w:val="00BA4154"/>
    <w:rsid w:val="00BA6426"/>
    <w:rsid w:val="00BB08DC"/>
    <w:rsid w:val="00BB0F28"/>
    <w:rsid w:val="00BB19F3"/>
    <w:rsid w:val="00BB3A8F"/>
    <w:rsid w:val="00BB458A"/>
    <w:rsid w:val="00BB4680"/>
    <w:rsid w:val="00BB7B61"/>
    <w:rsid w:val="00BC0A39"/>
    <w:rsid w:val="00BC17B4"/>
    <w:rsid w:val="00BC5931"/>
    <w:rsid w:val="00BC63F6"/>
    <w:rsid w:val="00BD00D3"/>
    <w:rsid w:val="00BD1659"/>
    <w:rsid w:val="00BD2BC3"/>
    <w:rsid w:val="00BD3AA9"/>
    <w:rsid w:val="00BD422F"/>
    <w:rsid w:val="00BD4A18"/>
    <w:rsid w:val="00BD6DB2"/>
    <w:rsid w:val="00BE11CF"/>
    <w:rsid w:val="00BE21AB"/>
    <w:rsid w:val="00BE55CB"/>
    <w:rsid w:val="00BE7D35"/>
    <w:rsid w:val="00BF0FCF"/>
    <w:rsid w:val="00BF1207"/>
    <w:rsid w:val="00BF1E9F"/>
    <w:rsid w:val="00BF617A"/>
    <w:rsid w:val="00BF69E6"/>
    <w:rsid w:val="00BF6A48"/>
    <w:rsid w:val="00C022BF"/>
    <w:rsid w:val="00C030EB"/>
    <w:rsid w:val="00C0379D"/>
    <w:rsid w:val="00C03931"/>
    <w:rsid w:val="00C055F8"/>
    <w:rsid w:val="00C0576F"/>
    <w:rsid w:val="00C05FE3"/>
    <w:rsid w:val="00C06876"/>
    <w:rsid w:val="00C1168B"/>
    <w:rsid w:val="00C14B55"/>
    <w:rsid w:val="00C17A8E"/>
    <w:rsid w:val="00C2136D"/>
    <w:rsid w:val="00C214EE"/>
    <w:rsid w:val="00C2314B"/>
    <w:rsid w:val="00C24971"/>
    <w:rsid w:val="00C26BE5"/>
    <w:rsid w:val="00C26E4D"/>
    <w:rsid w:val="00C27192"/>
    <w:rsid w:val="00C27909"/>
    <w:rsid w:val="00C27B03"/>
    <w:rsid w:val="00C314E1"/>
    <w:rsid w:val="00C322B3"/>
    <w:rsid w:val="00C3305A"/>
    <w:rsid w:val="00C34397"/>
    <w:rsid w:val="00C3787D"/>
    <w:rsid w:val="00C403A9"/>
    <w:rsid w:val="00C4095D"/>
    <w:rsid w:val="00C44BCA"/>
    <w:rsid w:val="00C45D26"/>
    <w:rsid w:val="00C46AA1"/>
    <w:rsid w:val="00C5350E"/>
    <w:rsid w:val="00C5470D"/>
    <w:rsid w:val="00C57752"/>
    <w:rsid w:val="00C57B42"/>
    <w:rsid w:val="00C601D2"/>
    <w:rsid w:val="00C61588"/>
    <w:rsid w:val="00C632F1"/>
    <w:rsid w:val="00C644A6"/>
    <w:rsid w:val="00C65BCC"/>
    <w:rsid w:val="00C66970"/>
    <w:rsid w:val="00C67690"/>
    <w:rsid w:val="00C71BE2"/>
    <w:rsid w:val="00C807A9"/>
    <w:rsid w:val="00C80DA5"/>
    <w:rsid w:val="00C81123"/>
    <w:rsid w:val="00C81257"/>
    <w:rsid w:val="00C817A5"/>
    <w:rsid w:val="00C853CB"/>
    <w:rsid w:val="00C8691C"/>
    <w:rsid w:val="00C92B93"/>
    <w:rsid w:val="00C96CE2"/>
    <w:rsid w:val="00CA168A"/>
    <w:rsid w:val="00CA357E"/>
    <w:rsid w:val="00CA44F9"/>
    <w:rsid w:val="00CA4A69"/>
    <w:rsid w:val="00CB276E"/>
    <w:rsid w:val="00CB7D40"/>
    <w:rsid w:val="00CC3AF3"/>
    <w:rsid w:val="00CC3E0C"/>
    <w:rsid w:val="00CC40BF"/>
    <w:rsid w:val="00CC58D3"/>
    <w:rsid w:val="00CC68E8"/>
    <w:rsid w:val="00CC784D"/>
    <w:rsid w:val="00CD00E0"/>
    <w:rsid w:val="00CD06A7"/>
    <w:rsid w:val="00CD074F"/>
    <w:rsid w:val="00CD0BAB"/>
    <w:rsid w:val="00CD36B5"/>
    <w:rsid w:val="00CD7162"/>
    <w:rsid w:val="00CD7DFC"/>
    <w:rsid w:val="00CE3AFC"/>
    <w:rsid w:val="00CF0398"/>
    <w:rsid w:val="00CF3C8D"/>
    <w:rsid w:val="00CF4B67"/>
    <w:rsid w:val="00CF50B5"/>
    <w:rsid w:val="00D03273"/>
    <w:rsid w:val="00D0337B"/>
    <w:rsid w:val="00D039EE"/>
    <w:rsid w:val="00D0440E"/>
    <w:rsid w:val="00D04ABC"/>
    <w:rsid w:val="00D079B2"/>
    <w:rsid w:val="00D114E9"/>
    <w:rsid w:val="00D14D95"/>
    <w:rsid w:val="00D23BF1"/>
    <w:rsid w:val="00D261D1"/>
    <w:rsid w:val="00D276A5"/>
    <w:rsid w:val="00D305B8"/>
    <w:rsid w:val="00D31404"/>
    <w:rsid w:val="00D37471"/>
    <w:rsid w:val="00D412E9"/>
    <w:rsid w:val="00D429C6"/>
    <w:rsid w:val="00D43CDC"/>
    <w:rsid w:val="00D44C56"/>
    <w:rsid w:val="00D47748"/>
    <w:rsid w:val="00D47A6D"/>
    <w:rsid w:val="00D5245A"/>
    <w:rsid w:val="00D5257A"/>
    <w:rsid w:val="00D53F53"/>
    <w:rsid w:val="00D54536"/>
    <w:rsid w:val="00D54CC3"/>
    <w:rsid w:val="00D55CAC"/>
    <w:rsid w:val="00D6041A"/>
    <w:rsid w:val="00D61715"/>
    <w:rsid w:val="00D633EB"/>
    <w:rsid w:val="00D6415D"/>
    <w:rsid w:val="00D64924"/>
    <w:rsid w:val="00D7092C"/>
    <w:rsid w:val="00D74349"/>
    <w:rsid w:val="00D76D75"/>
    <w:rsid w:val="00D7777B"/>
    <w:rsid w:val="00D82FF7"/>
    <w:rsid w:val="00D832F6"/>
    <w:rsid w:val="00D847FE"/>
    <w:rsid w:val="00D85DA2"/>
    <w:rsid w:val="00D85F3C"/>
    <w:rsid w:val="00D8784A"/>
    <w:rsid w:val="00D90B3E"/>
    <w:rsid w:val="00D90D78"/>
    <w:rsid w:val="00D91E5F"/>
    <w:rsid w:val="00D93C3C"/>
    <w:rsid w:val="00D964EA"/>
    <w:rsid w:val="00D966D0"/>
    <w:rsid w:val="00D97034"/>
    <w:rsid w:val="00D97801"/>
    <w:rsid w:val="00DA0C59"/>
    <w:rsid w:val="00DA1336"/>
    <w:rsid w:val="00DA1C5C"/>
    <w:rsid w:val="00DA2373"/>
    <w:rsid w:val="00DA3991"/>
    <w:rsid w:val="00DA3FCA"/>
    <w:rsid w:val="00DA5A42"/>
    <w:rsid w:val="00DB348F"/>
    <w:rsid w:val="00DB5655"/>
    <w:rsid w:val="00DB5966"/>
    <w:rsid w:val="00DB5E7E"/>
    <w:rsid w:val="00DB7E6C"/>
    <w:rsid w:val="00DC08FE"/>
    <w:rsid w:val="00DC3304"/>
    <w:rsid w:val="00DC6FEE"/>
    <w:rsid w:val="00DD2C9E"/>
    <w:rsid w:val="00DD51AD"/>
    <w:rsid w:val="00DD5A29"/>
    <w:rsid w:val="00DD5D9D"/>
    <w:rsid w:val="00DE2FF1"/>
    <w:rsid w:val="00DE3152"/>
    <w:rsid w:val="00DE35CB"/>
    <w:rsid w:val="00DE3CE6"/>
    <w:rsid w:val="00DE3D92"/>
    <w:rsid w:val="00DE494E"/>
    <w:rsid w:val="00DE4C76"/>
    <w:rsid w:val="00DF13A0"/>
    <w:rsid w:val="00DF18F2"/>
    <w:rsid w:val="00DF21E9"/>
    <w:rsid w:val="00DF3657"/>
    <w:rsid w:val="00E00F14"/>
    <w:rsid w:val="00E01A44"/>
    <w:rsid w:val="00E028D7"/>
    <w:rsid w:val="00E0337E"/>
    <w:rsid w:val="00E04545"/>
    <w:rsid w:val="00E04F07"/>
    <w:rsid w:val="00E06386"/>
    <w:rsid w:val="00E11AF0"/>
    <w:rsid w:val="00E12549"/>
    <w:rsid w:val="00E1488D"/>
    <w:rsid w:val="00E16AC7"/>
    <w:rsid w:val="00E200FA"/>
    <w:rsid w:val="00E24EB4"/>
    <w:rsid w:val="00E26B5B"/>
    <w:rsid w:val="00E320ED"/>
    <w:rsid w:val="00E33AFB"/>
    <w:rsid w:val="00E34218"/>
    <w:rsid w:val="00E43651"/>
    <w:rsid w:val="00E43EA1"/>
    <w:rsid w:val="00E45958"/>
    <w:rsid w:val="00E46282"/>
    <w:rsid w:val="00E46676"/>
    <w:rsid w:val="00E46FC6"/>
    <w:rsid w:val="00E47E95"/>
    <w:rsid w:val="00E50FEF"/>
    <w:rsid w:val="00E5216E"/>
    <w:rsid w:val="00E521FD"/>
    <w:rsid w:val="00E534E3"/>
    <w:rsid w:val="00E53DF8"/>
    <w:rsid w:val="00E56344"/>
    <w:rsid w:val="00E56A8D"/>
    <w:rsid w:val="00E57077"/>
    <w:rsid w:val="00E60307"/>
    <w:rsid w:val="00E61968"/>
    <w:rsid w:val="00E62D0C"/>
    <w:rsid w:val="00E654B5"/>
    <w:rsid w:val="00E71433"/>
    <w:rsid w:val="00E7213C"/>
    <w:rsid w:val="00E76E52"/>
    <w:rsid w:val="00E82344"/>
    <w:rsid w:val="00E84C82"/>
    <w:rsid w:val="00E84D64"/>
    <w:rsid w:val="00E85FD3"/>
    <w:rsid w:val="00E85FE0"/>
    <w:rsid w:val="00E87408"/>
    <w:rsid w:val="00E87A67"/>
    <w:rsid w:val="00E87F42"/>
    <w:rsid w:val="00E9136D"/>
    <w:rsid w:val="00E914C4"/>
    <w:rsid w:val="00E934F5"/>
    <w:rsid w:val="00E93F27"/>
    <w:rsid w:val="00E96961"/>
    <w:rsid w:val="00E97099"/>
    <w:rsid w:val="00EA18FB"/>
    <w:rsid w:val="00EA49C9"/>
    <w:rsid w:val="00EA4D30"/>
    <w:rsid w:val="00EA51ED"/>
    <w:rsid w:val="00EA5F17"/>
    <w:rsid w:val="00EA6898"/>
    <w:rsid w:val="00EA6E69"/>
    <w:rsid w:val="00EA72EC"/>
    <w:rsid w:val="00EB078E"/>
    <w:rsid w:val="00EB11CB"/>
    <w:rsid w:val="00EB275A"/>
    <w:rsid w:val="00EB5711"/>
    <w:rsid w:val="00EB61AA"/>
    <w:rsid w:val="00EB6D34"/>
    <w:rsid w:val="00EB786A"/>
    <w:rsid w:val="00EC06D1"/>
    <w:rsid w:val="00EC0B86"/>
    <w:rsid w:val="00EC1411"/>
    <w:rsid w:val="00EC1578"/>
    <w:rsid w:val="00EC1C72"/>
    <w:rsid w:val="00EC247D"/>
    <w:rsid w:val="00EC3CC9"/>
    <w:rsid w:val="00EC680A"/>
    <w:rsid w:val="00ED01D6"/>
    <w:rsid w:val="00ED49DA"/>
    <w:rsid w:val="00ED69CE"/>
    <w:rsid w:val="00ED6E63"/>
    <w:rsid w:val="00EE11EA"/>
    <w:rsid w:val="00EE2BED"/>
    <w:rsid w:val="00EE374B"/>
    <w:rsid w:val="00EF0010"/>
    <w:rsid w:val="00EF4179"/>
    <w:rsid w:val="00F00C52"/>
    <w:rsid w:val="00F051DB"/>
    <w:rsid w:val="00F108DF"/>
    <w:rsid w:val="00F1102C"/>
    <w:rsid w:val="00F1154F"/>
    <w:rsid w:val="00F11BB5"/>
    <w:rsid w:val="00F14110"/>
    <w:rsid w:val="00F1417B"/>
    <w:rsid w:val="00F14A74"/>
    <w:rsid w:val="00F20465"/>
    <w:rsid w:val="00F21E2B"/>
    <w:rsid w:val="00F22D45"/>
    <w:rsid w:val="00F267D5"/>
    <w:rsid w:val="00F3069D"/>
    <w:rsid w:val="00F33941"/>
    <w:rsid w:val="00F342EC"/>
    <w:rsid w:val="00F34B99"/>
    <w:rsid w:val="00F35315"/>
    <w:rsid w:val="00F36741"/>
    <w:rsid w:val="00F378F0"/>
    <w:rsid w:val="00F42226"/>
    <w:rsid w:val="00F45CC7"/>
    <w:rsid w:val="00F521CB"/>
    <w:rsid w:val="00F52C1B"/>
    <w:rsid w:val="00F52DAB"/>
    <w:rsid w:val="00F54007"/>
    <w:rsid w:val="00F543F0"/>
    <w:rsid w:val="00F5570E"/>
    <w:rsid w:val="00F65AFC"/>
    <w:rsid w:val="00F729D7"/>
    <w:rsid w:val="00F7466C"/>
    <w:rsid w:val="00F812D6"/>
    <w:rsid w:val="00F81D29"/>
    <w:rsid w:val="00F869F2"/>
    <w:rsid w:val="00F90A3B"/>
    <w:rsid w:val="00F90F35"/>
    <w:rsid w:val="00F91C4D"/>
    <w:rsid w:val="00F92FD9"/>
    <w:rsid w:val="00FA284E"/>
    <w:rsid w:val="00FA402B"/>
    <w:rsid w:val="00FA5F22"/>
    <w:rsid w:val="00FA6684"/>
    <w:rsid w:val="00FA731E"/>
    <w:rsid w:val="00FB0E72"/>
    <w:rsid w:val="00FB2B38"/>
    <w:rsid w:val="00FB6D5E"/>
    <w:rsid w:val="00FC27D1"/>
    <w:rsid w:val="00FC4978"/>
    <w:rsid w:val="00FC59BA"/>
    <w:rsid w:val="00FC6358"/>
    <w:rsid w:val="00FC6C34"/>
    <w:rsid w:val="00FC738C"/>
    <w:rsid w:val="00FD0EFA"/>
    <w:rsid w:val="00FD320D"/>
    <w:rsid w:val="00FD4655"/>
    <w:rsid w:val="00FD7FF5"/>
    <w:rsid w:val="00FE23DE"/>
    <w:rsid w:val="00FE2801"/>
    <w:rsid w:val="00FE7F5B"/>
    <w:rsid w:val="00FF4787"/>
    <w:rsid w:val="00FF5086"/>
    <w:rsid w:val="00FF7A27"/>
    <w:rsid w:val="01260E98"/>
    <w:rsid w:val="01767CB9"/>
    <w:rsid w:val="017C6910"/>
    <w:rsid w:val="0227136C"/>
    <w:rsid w:val="04F64A8F"/>
    <w:rsid w:val="05B26008"/>
    <w:rsid w:val="065F10D4"/>
    <w:rsid w:val="06CA2D56"/>
    <w:rsid w:val="075E2523"/>
    <w:rsid w:val="07AF5930"/>
    <w:rsid w:val="07BF1624"/>
    <w:rsid w:val="08AF338E"/>
    <w:rsid w:val="09E6321A"/>
    <w:rsid w:val="0A0E0285"/>
    <w:rsid w:val="0B120836"/>
    <w:rsid w:val="0BE578FE"/>
    <w:rsid w:val="0C883942"/>
    <w:rsid w:val="0C931AD8"/>
    <w:rsid w:val="0D4252AC"/>
    <w:rsid w:val="0D6C2329"/>
    <w:rsid w:val="0DCB2546"/>
    <w:rsid w:val="0DD26630"/>
    <w:rsid w:val="0EC56101"/>
    <w:rsid w:val="100708A1"/>
    <w:rsid w:val="10155D0B"/>
    <w:rsid w:val="10445171"/>
    <w:rsid w:val="107269C3"/>
    <w:rsid w:val="12DD3B68"/>
    <w:rsid w:val="13E30432"/>
    <w:rsid w:val="154A2F50"/>
    <w:rsid w:val="15BD0FF3"/>
    <w:rsid w:val="15E71F25"/>
    <w:rsid w:val="16070E41"/>
    <w:rsid w:val="16260449"/>
    <w:rsid w:val="164C2CF7"/>
    <w:rsid w:val="16E42C87"/>
    <w:rsid w:val="172577D0"/>
    <w:rsid w:val="19153875"/>
    <w:rsid w:val="199F2DB8"/>
    <w:rsid w:val="19F25D6C"/>
    <w:rsid w:val="1A0C75F6"/>
    <w:rsid w:val="1B8151F1"/>
    <w:rsid w:val="1BB47375"/>
    <w:rsid w:val="1C2F6084"/>
    <w:rsid w:val="1C72145C"/>
    <w:rsid w:val="1C9746FE"/>
    <w:rsid w:val="1CC8320D"/>
    <w:rsid w:val="1CD1268F"/>
    <w:rsid w:val="1D434832"/>
    <w:rsid w:val="1D5030CD"/>
    <w:rsid w:val="1D6D28AD"/>
    <w:rsid w:val="1EE9541F"/>
    <w:rsid w:val="1F1D1F1F"/>
    <w:rsid w:val="1F4F1BB6"/>
    <w:rsid w:val="1F5C0367"/>
    <w:rsid w:val="1FA626FF"/>
    <w:rsid w:val="1FAB00CF"/>
    <w:rsid w:val="2009009E"/>
    <w:rsid w:val="206060C9"/>
    <w:rsid w:val="21BB2303"/>
    <w:rsid w:val="22BD2FB3"/>
    <w:rsid w:val="231F2E64"/>
    <w:rsid w:val="233A0AA7"/>
    <w:rsid w:val="237613B4"/>
    <w:rsid w:val="23A94A81"/>
    <w:rsid w:val="23CF7500"/>
    <w:rsid w:val="246001CD"/>
    <w:rsid w:val="249B0A0F"/>
    <w:rsid w:val="257242FD"/>
    <w:rsid w:val="264646FA"/>
    <w:rsid w:val="26541E80"/>
    <w:rsid w:val="26705B30"/>
    <w:rsid w:val="269A5064"/>
    <w:rsid w:val="270F3098"/>
    <w:rsid w:val="275A5E45"/>
    <w:rsid w:val="277A0E4F"/>
    <w:rsid w:val="28115C9D"/>
    <w:rsid w:val="288F719F"/>
    <w:rsid w:val="29424212"/>
    <w:rsid w:val="2B512E32"/>
    <w:rsid w:val="2BAF7B59"/>
    <w:rsid w:val="2CAE1BBE"/>
    <w:rsid w:val="2D152B51"/>
    <w:rsid w:val="2E165C6D"/>
    <w:rsid w:val="2ECB3F4C"/>
    <w:rsid w:val="2F141663"/>
    <w:rsid w:val="2F2019AC"/>
    <w:rsid w:val="2FBE4A19"/>
    <w:rsid w:val="308B3B3C"/>
    <w:rsid w:val="310821E5"/>
    <w:rsid w:val="31913CA2"/>
    <w:rsid w:val="326C7A21"/>
    <w:rsid w:val="32B84CE3"/>
    <w:rsid w:val="32CA3F86"/>
    <w:rsid w:val="33185FE3"/>
    <w:rsid w:val="336805E9"/>
    <w:rsid w:val="33924F62"/>
    <w:rsid w:val="33E824E8"/>
    <w:rsid w:val="355C10AF"/>
    <w:rsid w:val="35A87354"/>
    <w:rsid w:val="36251D10"/>
    <w:rsid w:val="365C14F3"/>
    <w:rsid w:val="366854D4"/>
    <w:rsid w:val="36C042FF"/>
    <w:rsid w:val="36F71A76"/>
    <w:rsid w:val="379E05BD"/>
    <w:rsid w:val="37C419E5"/>
    <w:rsid w:val="37D9172C"/>
    <w:rsid w:val="38040C2A"/>
    <w:rsid w:val="38A7646A"/>
    <w:rsid w:val="3ABA7E24"/>
    <w:rsid w:val="3B0D04F0"/>
    <w:rsid w:val="3B572151"/>
    <w:rsid w:val="3C08753D"/>
    <w:rsid w:val="3C6F6A8D"/>
    <w:rsid w:val="3C8D46E7"/>
    <w:rsid w:val="3CD22B71"/>
    <w:rsid w:val="3DEC7905"/>
    <w:rsid w:val="3E1928C7"/>
    <w:rsid w:val="3E976A09"/>
    <w:rsid w:val="3F1643BE"/>
    <w:rsid w:val="3FEC2CD2"/>
    <w:rsid w:val="41502DD2"/>
    <w:rsid w:val="4269060A"/>
    <w:rsid w:val="435E5C94"/>
    <w:rsid w:val="44254DD3"/>
    <w:rsid w:val="446077EA"/>
    <w:rsid w:val="458F54DE"/>
    <w:rsid w:val="45F428E0"/>
    <w:rsid w:val="46DA7D28"/>
    <w:rsid w:val="46EB783F"/>
    <w:rsid w:val="472A6F43"/>
    <w:rsid w:val="47A45368"/>
    <w:rsid w:val="47B2035D"/>
    <w:rsid w:val="47C27565"/>
    <w:rsid w:val="489F2FD7"/>
    <w:rsid w:val="48FD385A"/>
    <w:rsid w:val="49BD5514"/>
    <w:rsid w:val="4A3045E7"/>
    <w:rsid w:val="4A3C6604"/>
    <w:rsid w:val="4A3D47E7"/>
    <w:rsid w:val="4B3850D5"/>
    <w:rsid w:val="4B632B6F"/>
    <w:rsid w:val="4B9011B2"/>
    <w:rsid w:val="4BD42F98"/>
    <w:rsid w:val="4CFD02CC"/>
    <w:rsid w:val="4E312209"/>
    <w:rsid w:val="508D0734"/>
    <w:rsid w:val="50EA1314"/>
    <w:rsid w:val="51784EA6"/>
    <w:rsid w:val="51912B88"/>
    <w:rsid w:val="52793C3C"/>
    <w:rsid w:val="52BB733A"/>
    <w:rsid w:val="52FA1ECF"/>
    <w:rsid w:val="54E1356B"/>
    <w:rsid w:val="559F1AA1"/>
    <w:rsid w:val="55A27B30"/>
    <w:rsid w:val="56D12807"/>
    <w:rsid w:val="57CF54EB"/>
    <w:rsid w:val="59CA1372"/>
    <w:rsid w:val="59CE3709"/>
    <w:rsid w:val="5A600BAA"/>
    <w:rsid w:val="5A8F59F5"/>
    <w:rsid w:val="5B651AFC"/>
    <w:rsid w:val="5BBE7CD9"/>
    <w:rsid w:val="5C8871D2"/>
    <w:rsid w:val="5CE464DB"/>
    <w:rsid w:val="5DB217C6"/>
    <w:rsid w:val="5E875C48"/>
    <w:rsid w:val="5F6940CF"/>
    <w:rsid w:val="5F9570EB"/>
    <w:rsid w:val="5FAD7611"/>
    <w:rsid w:val="606C2ECA"/>
    <w:rsid w:val="61901233"/>
    <w:rsid w:val="62751EB8"/>
    <w:rsid w:val="63200B9E"/>
    <w:rsid w:val="635B4DFF"/>
    <w:rsid w:val="63BC45E5"/>
    <w:rsid w:val="644D5FC1"/>
    <w:rsid w:val="64C5396E"/>
    <w:rsid w:val="65055B18"/>
    <w:rsid w:val="65975E6E"/>
    <w:rsid w:val="667752EC"/>
    <w:rsid w:val="66AA741D"/>
    <w:rsid w:val="66B02438"/>
    <w:rsid w:val="66EE4D89"/>
    <w:rsid w:val="67B02156"/>
    <w:rsid w:val="6835594A"/>
    <w:rsid w:val="68902444"/>
    <w:rsid w:val="6916074D"/>
    <w:rsid w:val="691B590A"/>
    <w:rsid w:val="6A0B3BD1"/>
    <w:rsid w:val="6A244298"/>
    <w:rsid w:val="6A7774B8"/>
    <w:rsid w:val="6ADE7537"/>
    <w:rsid w:val="6BE61753"/>
    <w:rsid w:val="6C012473"/>
    <w:rsid w:val="6CC77B5E"/>
    <w:rsid w:val="6DBE53FE"/>
    <w:rsid w:val="6DCA66D7"/>
    <w:rsid w:val="6EF96F2C"/>
    <w:rsid w:val="71174061"/>
    <w:rsid w:val="712B4B58"/>
    <w:rsid w:val="721B0903"/>
    <w:rsid w:val="73D4587E"/>
    <w:rsid w:val="73E8676B"/>
    <w:rsid w:val="74671C98"/>
    <w:rsid w:val="750D4CA9"/>
    <w:rsid w:val="7688165F"/>
    <w:rsid w:val="76AF38CC"/>
    <w:rsid w:val="775860EE"/>
    <w:rsid w:val="776E2C70"/>
    <w:rsid w:val="783C3AEF"/>
    <w:rsid w:val="78B47B29"/>
    <w:rsid w:val="78CF226D"/>
    <w:rsid w:val="793A050B"/>
    <w:rsid w:val="79CC49FF"/>
    <w:rsid w:val="79E20C03"/>
    <w:rsid w:val="7AFA69D6"/>
    <w:rsid w:val="7B164F4C"/>
    <w:rsid w:val="7B65510B"/>
    <w:rsid w:val="7B6F4184"/>
    <w:rsid w:val="7C105031"/>
    <w:rsid w:val="7C266648"/>
    <w:rsid w:val="7CF5737F"/>
    <w:rsid w:val="7D8E26F7"/>
    <w:rsid w:val="7EB763C2"/>
    <w:rsid w:val="7EC058AE"/>
    <w:rsid w:val="7EF944E8"/>
    <w:rsid w:val="7F0371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qFormat="1" w:unhideWhenUsed="0" w:uiPriority="99"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4"/>
    <w:autoRedefine/>
    <w:qFormat/>
    <w:uiPriority w:val="99"/>
    <w:pPr>
      <w:widowControl/>
      <w:spacing w:before="450" w:after="100" w:afterAutospacing="1"/>
      <w:jc w:val="center"/>
      <w:outlineLvl w:val="0"/>
    </w:pPr>
    <w:rPr>
      <w:rFonts w:ascii="宋体" w:hAnsi="宋体"/>
      <w:b/>
      <w:bCs/>
      <w:kern w:val="36"/>
      <w:sz w:val="36"/>
      <w:szCs w:val="36"/>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autoRedefine/>
    <w:semiHidden/>
    <w:qFormat/>
    <w:uiPriority w:val="99"/>
    <w:pPr>
      <w:tabs>
        <w:tab w:val="right" w:leader="dot" w:pos="9241"/>
      </w:tabs>
      <w:ind w:firstLine="500" w:firstLineChars="500"/>
      <w:jc w:val="left"/>
    </w:pPr>
    <w:rPr>
      <w:rFonts w:ascii="宋体"/>
      <w:szCs w:val="21"/>
    </w:rPr>
  </w:style>
  <w:style w:type="paragraph" w:styleId="4">
    <w:name w:val="index 8"/>
    <w:basedOn w:val="1"/>
    <w:next w:val="1"/>
    <w:autoRedefine/>
    <w:qFormat/>
    <w:uiPriority w:val="0"/>
    <w:pPr>
      <w:ind w:left="1680" w:hanging="210"/>
      <w:jc w:val="left"/>
    </w:pPr>
    <w:rPr>
      <w:rFonts w:ascii="Calibri" w:hAnsi="Calibri"/>
      <w:sz w:val="20"/>
      <w:szCs w:val="20"/>
    </w:rPr>
  </w:style>
  <w:style w:type="paragraph" w:styleId="5">
    <w:name w:val="caption"/>
    <w:basedOn w:val="1"/>
    <w:next w:val="1"/>
    <w:autoRedefine/>
    <w:qFormat/>
    <w:uiPriority w:val="99"/>
    <w:pPr>
      <w:spacing w:before="152" w:after="160"/>
    </w:pPr>
    <w:rPr>
      <w:rFonts w:ascii="Arial" w:hAnsi="Arial" w:eastAsia="黑体" w:cs="Arial"/>
      <w:sz w:val="20"/>
      <w:szCs w:val="20"/>
    </w:rPr>
  </w:style>
  <w:style w:type="paragraph" w:styleId="6">
    <w:name w:val="index 5"/>
    <w:basedOn w:val="1"/>
    <w:next w:val="1"/>
    <w:autoRedefine/>
    <w:qFormat/>
    <w:uiPriority w:val="99"/>
    <w:pPr>
      <w:ind w:left="1050" w:hanging="210"/>
      <w:jc w:val="left"/>
    </w:pPr>
    <w:rPr>
      <w:rFonts w:ascii="Calibri" w:hAnsi="Calibri"/>
      <w:sz w:val="20"/>
      <w:szCs w:val="20"/>
    </w:rPr>
  </w:style>
  <w:style w:type="paragraph" w:styleId="7">
    <w:name w:val="Document Map"/>
    <w:basedOn w:val="1"/>
    <w:link w:val="131"/>
    <w:autoRedefine/>
    <w:semiHidden/>
    <w:qFormat/>
    <w:uiPriority w:val="99"/>
    <w:pPr>
      <w:shd w:val="clear" w:color="auto" w:fill="000080"/>
    </w:pPr>
  </w:style>
  <w:style w:type="paragraph" w:styleId="8">
    <w:name w:val="annotation text"/>
    <w:basedOn w:val="1"/>
    <w:link w:val="149"/>
    <w:autoRedefine/>
    <w:semiHidden/>
    <w:qFormat/>
    <w:uiPriority w:val="99"/>
    <w:pPr>
      <w:jc w:val="left"/>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Body Text"/>
    <w:basedOn w:val="1"/>
    <w:autoRedefine/>
    <w:qFormat/>
    <w:uiPriority w:val="1"/>
    <w:pPr>
      <w:jc w:val="left"/>
    </w:pPr>
    <w:rPr>
      <w:rFonts w:eastAsia="Times New Roman" w:cstheme="minorBidi"/>
      <w:kern w:val="0"/>
      <w:sz w:val="28"/>
      <w:szCs w:val="28"/>
      <w:lang w:eastAsia="en-US"/>
    </w:rPr>
  </w:style>
  <w:style w:type="paragraph" w:styleId="11">
    <w:name w:val="index 4"/>
    <w:basedOn w:val="1"/>
    <w:next w:val="1"/>
    <w:autoRedefine/>
    <w:qFormat/>
    <w:uiPriority w:val="99"/>
    <w:pPr>
      <w:ind w:left="840" w:hanging="210"/>
      <w:jc w:val="left"/>
    </w:pPr>
    <w:rPr>
      <w:rFonts w:ascii="Calibri" w:hAnsi="Calibri"/>
      <w:sz w:val="20"/>
      <w:szCs w:val="20"/>
    </w:rPr>
  </w:style>
  <w:style w:type="paragraph" w:styleId="12">
    <w:name w:val="toc 5"/>
    <w:basedOn w:val="1"/>
    <w:next w:val="1"/>
    <w:autoRedefine/>
    <w:semiHidden/>
    <w:qFormat/>
    <w:uiPriority w:val="99"/>
    <w:pPr>
      <w:tabs>
        <w:tab w:val="right" w:leader="dot" w:pos="9241"/>
      </w:tabs>
      <w:ind w:firstLine="300" w:firstLineChars="300"/>
      <w:jc w:val="left"/>
    </w:pPr>
    <w:rPr>
      <w:rFonts w:ascii="宋体"/>
      <w:szCs w:val="21"/>
    </w:rPr>
  </w:style>
  <w:style w:type="paragraph" w:styleId="13">
    <w:name w:val="toc 3"/>
    <w:basedOn w:val="1"/>
    <w:next w:val="1"/>
    <w:autoRedefine/>
    <w:semiHidden/>
    <w:qFormat/>
    <w:uiPriority w:val="99"/>
    <w:pPr>
      <w:tabs>
        <w:tab w:val="right" w:leader="dot" w:pos="9241"/>
      </w:tabs>
      <w:ind w:firstLine="100" w:firstLineChars="100"/>
      <w:jc w:val="left"/>
    </w:pPr>
    <w:rPr>
      <w:rFonts w:ascii="宋体"/>
      <w:szCs w:val="21"/>
    </w:rPr>
  </w:style>
  <w:style w:type="paragraph" w:styleId="14">
    <w:name w:val="Plain Text"/>
    <w:basedOn w:val="1"/>
    <w:semiHidden/>
    <w:unhideWhenUsed/>
    <w:qFormat/>
    <w:uiPriority w:val="99"/>
    <w:rPr>
      <w:rFonts w:ascii="宋体" w:hAnsi="Courier New"/>
    </w:rPr>
  </w:style>
  <w:style w:type="paragraph" w:styleId="15">
    <w:name w:val="toc 8"/>
    <w:basedOn w:val="1"/>
    <w:next w:val="1"/>
    <w:autoRedefine/>
    <w:semiHidden/>
    <w:qFormat/>
    <w:uiPriority w:val="99"/>
    <w:pPr>
      <w:tabs>
        <w:tab w:val="right" w:leader="dot" w:pos="9241"/>
      </w:tabs>
      <w:ind w:firstLine="607" w:firstLineChars="600"/>
      <w:jc w:val="left"/>
    </w:pPr>
    <w:rPr>
      <w:rFonts w:ascii="宋体"/>
      <w:szCs w:val="21"/>
    </w:rPr>
  </w:style>
  <w:style w:type="paragraph" w:styleId="16">
    <w:name w:val="index 3"/>
    <w:basedOn w:val="1"/>
    <w:next w:val="1"/>
    <w:autoRedefine/>
    <w:qFormat/>
    <w:uiPriority w:val="99"/>
    <w:pPr>
      <w:ind w:left="630" w:hanging="210"/>
      <w:jc w:val="left"/>
    </w:pPr>
    <w:rPr>
      <w:rFonts w:ascii="Calibri" w:hAnsi="Calibri"/>
      <w:sz w:val="20"/>
      <w:szCs w:val="20"/>
    </w:rPr>
  </w:style>
  <w:style w:type="paragraph" w:styleId="17">
    <w:name w:val="Date"/>
    <w:basedOn w:val="1"/>
    <w:next w:val="1"/>
    <w:link w:val="148"/>
    <w:autoRedefine/>
    <w:qFormat/>
    <w:uiPriority w:val="99"/>
    <w:pPr>
      <w:ind w:left="100" w:leftChars="2500"/>
    </w:pPr>
  </w:style>
  <w:style w:type="paragraph" w:styleId="18">
    <w:name w:val="endnote text"/>
    <w:basedOn w:val="1"/>
    <w:link w:val="130"/>
    <w:autoRedefine/>
    <w:semiHidden/>
    <w:qFormat/>
    <w:uiPriority w:val="99"/>
    <w:pPr>
      <w:snapToGrid w:val="0"/>
      <w:jc w:val="left"/>
    </w:pPr>
  </w:style>
  <w:style w:type="paragraph" w:styleId="19">
    <w:name w:val="Balloon Text"/>
    <w:basedOn w:val="1"/>
    <w:link w:val="146"/>
    <w:autoRedefine/>
    <w:qFormat/>
    <w:uiPriority w:val="99"/>
    <w:rPr>
      <w:sz w:val="18"/>
      <w:szCs w:val="18"/>
    </w:rPr>
  </w:style>
  <w:style w:type="paragraph" w:styleId="20">
    <w:name w:val="footer"/>
    <w:basedOn w:val="1"/>
    <w:link w:val="61"/>
    <w:autoRedefine/>
    <w:qFormat/>
    <w:uiPriority w:val="99"/>
    <w:pPr>
      <w:snapToGrid w:val="0"/>
      <w:ind w:right="210" w:rightChars="100"/>
      <w:jc w:val="right"/>
    </w:pPr>
    <w:rPr>
      <w:sz w:val="18"/>
      <w:szCs w:val="18"/>
    </w:rPr>
  </w:style>
  <w:style w:type="paragraph" w:styleId="21">
    <w:name w:val="header"/>
    <w:basedOn w:val="1"/>
    <w:link w:val="62"/>
    <w:autoRedefine/>
    <w:qFormat/>
    <w:uiPriority w:val="99"/>
    <w:pPr>
      <w:snapToGrid w:val="0"/>
      <w:jc w:val="left"/>
    </w:pPr>
    <w:rPr>
      <w:sz w:val="18"/>
      <w:szCs w:val="18"/>
    </w:rPr>
  </w:style>
  <w:style w:type="paragraph" w:styleId="22">
    <w:name w:val="toc 1"/>
    <w:basedOn w:val="1"/>
    <w:next w:val="1"/>
    <w:autoRedefine/>
    <w:semiHidden/>
    <w:qFormat/>
    <w:uiPriority w:val="99"/>
    <w:pPr>
      <w:tabs>
        <w:tab w:val="right" w:leader="dot" w:pos="9242"/>
      </w:tabs>
      <w:spacing w:beforeLines="25" w:afterLines="25"/>
      <w:jc w:val="left"/>
    </w:pPr>
    <w:rPr>
      <w:rFonts w:ascii="宋体"/>
      <w:szCs w:val="21"/>
    </w:rPr>
  </w:style>
  <w:style w:type="paragraph" w:styleId="23">
    <w:name w:val="toc 4"/>
    <w:basedOn w:val="1"/>
    <w:next w:val="1"/>
    <w:autoRedefine/>
    <w:semiHidden/>
    <w:qFormat/>
    <w:uiPriority w:val="99"/>
    <w:pPr>
      <w:tabs>
        <w:tab w:val="right" w:leader="dot" w:pos="9241"/>
      </w:tabs>
      <w:ind w:firstLine="200" w:firstLineChars="200"/>
      <w:jc w:val="left"/>
    </w:pPr>
    <w:rPr>
      <w:rFonts w:ascii="宋体"/>
      <w:szCs w:val="21"/>
    </w:rPr>
  </w:style>
  <w:style w:type="paragraph" w:styleId="24">
    <w:name w:val="index heading"/>
    <w:basedOn w:val="1"/>
    <w:next w:val="25"/>
    <w:autoRedefine/>
    <w:qFormat/>
    <w:uiPriority w:val="99"/>
    <w:pPr>
      <w:spacing w:before="120" w:after="120"/>
      <w:jc w:val="center"/>
    </w:pPr>
    <w:rPr>
      <w:rFonts w:ascii="Calibri" w:hAnsi="Calibri"/>
      <w:b/>
      <w:bCs/>
      <w:iCs/>
      <w:szCs w:val="20"/>
    </w:rPr>
  </w:style>
  <w:style w:type="paragraph" w:styleId="25">
    <w:name w:val="index 1"/>
    <w:basedOn w:val="1"/>
    <w:next w:val="26"/>
    <w:autoRedefine/>
    <w:qFormat/>
    <w:uiPriority w:val="99"/>
    <w:pPr>
      <w:tabs>
        <w:tab w:val="right" w:leader="dot" w:pos="9299"/>
      </w:tabs>
      <w:jc w:val="left"/>
    </w:pPr>
    <w:rPr>
      <w:rFonts w:ascii="宋体"/>
      <w:szCs w:val="21"/>
    </w:rPr>
  </w:style>
  <w:style w:type="paragraph" w:customStyle="1" w:styleId="26">
    <w:name w:val="段"/>
    <w:link w:val="4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link w:val="112"/>
    <w:autoRedefine/>
    <w:qFormat/>
    <w:uiPriority w:val="99"/>
    <w:pPr>
      <w:numPr>
        <w:ilvl w:val="0"/>
        <w:numId w:val="1"/>
      </w:numPr>
      <w:snapToGrid w:val="0"/>
      <w:jc w:val="left"/>
    </w:pPr>
    <w:rPr>
      <w:rFonts w:ascii="宋体"/>
      <w:sz w:val="18"/>
      <w:szCs w:val="18"/>
    </w:rPr>
  </w:style>
  <w:style w:type="paragraph" w:styleId="28">
    <w:name w:val="toc 6"/>
    <w:basedOn w:val="1"/>
    <w:next w:val="1"/>
    <w:autoRedefine/>
    <w:semiHidden/>
    <w:qFormat/>
    <w:uiPriority w:val="99"/>
    <w:pPr>
      <w:tabs>
        <w:tab w:val="right" w:leader="dot" w:pos="9241"/>
      </w:tabs>
      <w:ind w:firstLine="400" w:firstLineChars="400"/>
      <w:jc w:val="left"/>
    </w:pPr>
    <w:rPr>
      <w:rFonts w:ascii="宋体"/>
      <w:szCs w:val="21"/>
    </w:rPr>
  </w:style>
  <w:style w:type="paragraph" w:styleId="29">
    <w:name w:val="index 7"/>
    <w:basedOn w:val="1"/>
    <w:next w:val="1"/>
    <w:autoRedefine/>
    <w:qFormat/>
    <w:uiPriority w:val="99"/>
    <w:pPr>
      <w:ind w:left="1470" w:hanging="210"/>
      <w:jc w:val="left"/>
    </w:pPr>
    <w:rPr>
      <w:rFonts w:ascii="Calibri" w:hAnsi="Calibri"/>
      <w:sz w:val="20"/>
      <w:szCs w:val="20"/>
    </w:rPr>
  </w:style>
  <w:style w:type="paragraph" w:styleId="30">
    <w:name w:val="index 9"/>
    <w:basedOn w:val="1"/>
    <w:next w:val="1"/>
    <w:autoRedefine/>
    <w:qFormat/>
    <w:uiPriority w:val="99"/>
    <w:pPr>
      <w:ind w:left="1890" w:hanging="210"/>
      <w:jc w:val="left"/>
    </w:pPr>
    <w:rPr>
      <w:rFonts w:ascii="Calibri" w:hAnsi="Calibri"/>
      <w:sz w:val="20"/>
      <w:szCs w:val="20"/>
    </w:rPr>
  </w:style>
  <w:style w:type="paragraph" w:styleId="31">
    <w:name w:val="toc 2"/>
    <w:basedOn w:val="1"/>
    <w:next w:val="1"/>
    <w:autoRedefine/>
    <w:semiHidden/>
    <w:qFormat/>
    <w:uiPriority w:val="99"/>
    <w:pPr>
      <w:tabs>
        <w:tab w:val="right" w:leader="dot" w:pos="9242"/>
      </w:tabs>
    </w:pPr>
    <w:rPr>
      <w:rFonts w:ascii="宋体"/>
      <w:szCs w:val="21"/>
    </w:rPr>
  </w:style>
  <w:style w:type="paragraph" w:styleId="32">
    <w:name w:val="toc 9"/>
    <w:basedOn w:val="1"/>
    <w:next w:val="1"/>
    <w:autoRedefine/>
    <w:semiHidden/>
    <w:qFormat/>
    <w:uiPriority w:val="99"/>
    <w:pPr>
      <w:ind w:left="1470"/>
      <w:jc w:val="left"/>
    </w:pPr>
    <w:rPr>
      <w:sz w:val="20"/>
      <w:szCs w:val="20"/>
    </w:rPr>
  </w:style>
  <w:style w:type="paragraph" w:styleId="33">
    <w:name w:val="index 2"/>
    <w:basedOn w:val="1"/>
    <w:next w:val="1"/>
    <w:autoRedefine/>
    <w:qFormat/>
    <w:uiPriority w:val="99"/>
    <w:pPr>
      <w:ind w:left="420" w:hanging="210"/>
      <w:jc w:val="left"/>
    </w:pPr>
    <w:rPr>
      <w:rFonts w:ascii="Calibri" w:hAnsi="Calibri"/>
      <w:sz w:val="20"/>
      <w:szCs w:val="20"/>
    </w:rPr>
  </w:style>
  <w:style w:type="paragraph" w:styleId="34">
    <w:name w:val="annotation subject"/>
    <w:basedOn w:val="8"/>
    <w:next w:val="8"/>
    <w:link w:val="150"/>
    <w:autoRedefine/>
    <w:semiHidden/>
    <w:qFormat/>
    <w:uiPriority w:val="99"/>
    <w:rPr>
      <w:b/>
      <w:bCs/>
    </w:rPr>
  </w:style>
  <w:style w:type="table" w:styleId="36">
    <w:name w:val="Table Grid"/>
    <w:basedOn w:val="35"/>
    <w:autoRedefine/>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endnote reference"/>
    <w:basedOn w:val="37"/>
    <w:autoRedefine/>
    <w:semiHidden/>
    <w:qFormat/>
    <w:uiPriority w:val="99"/>
    <w:rPr>
      <w:rFonts w:cs="Times New Roman"/>
      <w:vertAlign w:val="superscript"/>
    </w:rPr>
  </w:style>
  <w:style w:type="character" w:styleId="39">
    <w:name w:val="page number"/>
    <w:basedOn w:val="37"/>
    <w:autoRedefine/>
    <w:qFormat/>
    <w:uiPriority w:val="99"/>
    <w:rPr>
      <w:rFonts w:ascii="Times New Roman" w:hAnsi="Times New Roman" w:eastAsia="宋体" w:cs="Times New Roman"/>
      <w:sz w:val="18"/>
    </w:rPr>
  </w:style>
  <w:style w:type="character" w:styleId="40">
    <w:name w:val="FollowedHyperlink"/>
    <w:basedOn w:val="37"/>
    <w:autoRedefine/>
    <w:qFormat/>
    <w:uiPriority w:val="99"/>
    <w:rPr>
      <w:rFonts w:cs="Times New Roman"/>
      <w:color w:val="800080"/>
      <w:u w:val="single"/>
    </w:rPr>
  </w:style>
  <w:style w:type="character" w:styleId="41">
    <w:name w:val="Hyperlink"/>
    <w:basedOn w:val="37"/>
    <w:autoRedefine/>
    <w:qFormat/>
    <w:uiPriority w:val="99"/>
    <w:rPr>
      <w:rFonts w:cs="Times New Roman"/>
      <w:color w:val="0000FF"/>
      <w:spacing w:val="0"/>
      <w:w w:val="100"/>
      <w:sz w:val="21"/>
      <w:szCs w:val="21"/>
      <w:u w:val="single"/>
    </w:rPr>
  </w:style>
  <w:style w:type="character" w:styleId="42">
    <w:name w:val="annotation reference"/>
    <w:basedOn w:val="37"/>
    <w:autoRedefine/>
    <w:semiHidden/>
    <w:qFormat/>
    <w:uiPriority w:val="99"/>
    <w:rPr>
      <w:rFonts w:cs="Times New Roman"/>
      <w:sz w:val="21"/>
      <w:szCs w:val="21"/>
    </w:rPr>
  </w:style>
  <w:style w:type="character" w:styleId="43">
    <w:name w:val="footnote reference"/>
    <w:basedOn w:val="37"/>
    <w:autoRedefine/>
    <w:semiHidden/>
    <w:qFormat/>
    <w:uiPriority w:val="99"/>
    <w:rPr>
      <w:rFonts w:cs="Times New Roman"/>
      <w:vertAlign w:val="superscript"/>
    </w:rPr>
  </w:style>
  <w:style w:type="character" w:customStyle="1" w:styleId="44">
    <w:name w:val="标题 1 字符"/>
    <w:basedOn w:val="37"/>
    <w:link w:val="2"/>
    <w:autoRedefine/>
    <w:qFormat/>
    <w:locked/>
    <w:uiPriority w:val="99"/>
    <w:rPr>
      <w:rFonts w:ascii="宋体" w:eastAsia="宋体" w:cs="Times New Roman"/>
      <w:b/>
      <w:bCs/>
      <w:kern w:val="36"/>
      <w:sz w:val="36"/>
      <w:szCs w:val="36"/>
    </w:rPr>
  </w:style>
  <w:style w:type="character" w:customStyle="1" w:styleId="45">
    <w:name w:val="段 Char"/>
    <w:basedOn w:val="37"/>
    <w:link w:val="26"/>
    <w:autoRedefine/>
    <w:qFormat/>
    <w:locked/>
    <w:uiPriority w:val="0"/>
    <w:rPr>
      <w:rFonts w:ascii="宋体" w:cs="Times New Roman"/>
      <w:sz w:val="21"/>
      <w:lang w:val="en-US" w:eastAsia="zh-CN" w:bidi="ar-SA"/>
    </w:rPr>
  </w:style>
  <w:style w:type="paragraph" w:customStyle="1" w:styleId="46">
    <w:name w:val="一级条标题"/>
    <w:next w:val="26"/>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7">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48">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章标题"/>
    <w:next w:val="26"/>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6"/>
    <w:next w:val="26"/>
    <w:autoRedefine/>
    <w:qFormat/>
    <w:uiPriority w:val="0"/>
    <w:pPr>
      <w:numPr>
        <w:ilvl w:val="2"/>
        <w:numId w:val="0"/>
      </w:numPr>
      <w:spacing w:before="50" w:after="50"/>
      <w:outlineLvl w:val="3"/>
    </w:pPr>
  </w:style>
  <w:style w:type="paragraph" w:customStyle="1" w:styleId="51">
    <w:name w:val="封面标准号2"/>
    <w:autoRedefine/>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2">
    <w:name w:val="列项——（一级）"/>
    <w:autoRedefine/>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53">
    <w:name w:val="列项●（二级）"/>
    <w:autoRedefine/>
    <w:qFormat/>
    <w:uiPriority w:val="9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4">
    <w:name w:val="目次、标准名称标题"/>
    <w:basedOn w:val="1"/>
    <w:next w:val="26"/>
    <w:autoRedefine/>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5">
    <w:name w:val="三级条标题"/>
    <w:basedOn w:val="50"/>
    <w:next w:val="26"/>
    <w:autoRedefine/>
    <w:qFormat/>
    <w:uiPriority w:val="0"/>
    <w:pPr>
      <w:numPr>
        <w:ilvl w:val="3"/>
      </w:numPr>
      <w:outlineLvl w:val="4"/>
    </w:pPr>
  </w:style>
  <w:style w:type="paragraph" w:customStyle="1" w:styleId="56">
    <w:name w:val="示例"/>
    <w:next w:val="57"/>
    <w:autoRedefine/>
    <w:qFormat/>
    <w:uiPriority w:val="99"/>
    <w:pPr>
      <w:widowControl w:val="0"/>
      <w:ind w:firstLine="363"/>
      <w:jc w:val="both"/>
    </w:pPr>
    <w:rPr>
      <w:rFonts w:ascii="宋体" w:hAnsi="Times New Roman" w:eastAsia="宋体" w:cs="Times New Roman"/>
      <w:sz w:val="18"/>
      <w:szCs w:val="18"/>
      <w:lang w:val="en-US" w:eastAsia="zh-CN" w:bidi="ar-SA"/>
    </w:rPr>
  </w:style>
  <w:style w:type="paragraph" w:customStyle="1" w:styleId="57">
    <w:name w:val="示例内容"/>
    <w:autoRedefine/>
    <w:qFormat/>
    <w:uiPriority w:val="99"/>
    <w:pPr>
      <w:ind w:firstLine="200" w:firstLineChars="200"/>
    </w:pPr>
    <w:rPr>
      <w:rFonts w:ascii="宋体" w:hAnsi="Times New Roman" w:eastAsia="宋体" w:cs="Times New Roman"/>
      <w:sz w:val="18"/>
      <w:szCs w:val="18"/>
      <w:lang w:val="en-US" w:eastAsia="zh-CN" w:bidi="ar-SA"/>
    </w:rPr>
  </w:style>
  <w:style w:type="paragraph" w:customStyle="1" w:styleId="58">
    <w:name w:val="数字编号列项（二级）"/>
    <w:autoRedefine/>
    <w:qFormat/>
    <w:uiPriority w:val="99"/>
    <w:pPr>
      <w:numPr>
        <w:ilvl w:val="1"/>
        <w:numId w:val="4"/>
      </w:numPr>
      <w:jc w:val="both"/>
    </w:pPr>
    <w:rPr>
      <w:rFonts w:ascii="宋体" w:hAnsi="Times New Roman" w:eastAsia="宋体" w:cs="Times New Roman"/>
      <w:sz w:val="21"/>
      <w:lang w:val="en-US" w:eastAsia="zh-CN" w:bidi="ar-SA"/>
    </w:rPr>
  </w:style>
  <w:style w:type="paragraph" w:customStyle="1" w:styleId="59">
    <w:name w:val="四级条标题"/>
    <w:basedOn w:val="55"/>
    <w:next w:val="26"/>
    <w:autoRedefine/>
    <w:qFormat/>
    <w:uiPriority w:val="0"/>
    <w:pPr>
      <w:numPr>
        <w:ilvl w:val="4"/>
      </w:numPr>
      <w:outlineLvl w:val="5"/>
    </w:pPr>
  </w:style>
  <w:style w:type="paragraph" w:customStyle="1" w:styleId="60">
    <w:name w:val="五级条标题"/>
    <w:basedOn w:val="59"/>
    <w:next w:val="26"/>
    <w:autoRedefine/>
    <w:qFormat/>
    <w:uiPriority w:val="0"/>
    <w:pPr>
      <w:numPr>
        <w:ilvl w:val="5"/>
      </w:numPr>
      <w:outlineLvl w:val="6"/>
    </w:pPr>
  </w:style>
  <w:style w:type="character" w:customStyle="1" w:styleId="61">
    <w:name w:val="页脚 字符"/>
    <w:basedOn w:val="37"/>
    <w:link w:val="20"/>
    <w:autoRedefine/>
    <w:qFormat/>
    <w:locked/>
    <w:uiPriority w:val="99"/>
    <w:rPr>
      <w:rFonts w:cs="Times New Roman"/>
      <w:kern w:val="2"/>
      <w:sz w:val="18"/>
    </w:rPr>
  </w:style>
  <w:style w:type="character" w:customStyle="1" w:styleId="62">
    <w:name w:val="页眉 字符"/>
    <w:basedOn w:val="37"/>
    <w:link w:val="21"/>
    <w:autoRedefine/>
    <w:qFormat/>
    <w:locked/>
    <w:uiPriority w:val="99"/>
    <w:rPr>
      <w:rFonts w:cs="Times New Roman"/>
      <w:kern w:val="2"/>
      <w:sz w:val="18"/>
    </w:rPr>
  </w:style>
  <w:style w:type="paragraph" w:customStyle="1" w:styleId="63">
    <w:name w:val="注："/>
    <w:next w:val="26"/>
    <w:autoRedefine/>
    <w:qFormat/>
    <w:uiPriority w:val="99"/>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4">
    <w:name w:val="注×："/>
    <w:autoRedefine/>
    <w:qFormat/>
    <w:uiPriority w:val="99"/>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5">
    <w:name w:val="字母编号列项（一级）"/>
    <w:autoRedefine/>
    <w:qFormat/>
    <w:uiPriority w:val="99"/>
    <w:pPr>
      <w:numPr>
        <w:ilvl w:val="0"/>
        <w:numId w:val="4"/>
      </w:numPr>
      <w:jc w:val="both"/>
    </w:pPr>
    <w:rPr>
      <w:rFonts w:ascii="宋体" w:hAnsi="Times New Roman" w:eastAsia="宋体" w:cs="Times New Roman"/>
      <w:sz w:val="21"/>
      <w:lang w:val="en-US" w:eastAsia="zh-CN" w:bidi="ar-SA"/>
    </w:rPr>
  </w:style>
  <w:style w:type="paragraph" w:customStyle="1" w:styleId="66">
    <w:name w:val="列项◆（三级）"/>
    <w:basedOn w:val="1"/>
    <w:autoRedefine/>
    <w:qFormat/>
    <w:uiPriority w:val="99"/>
    <w:pPr>
      <w:numPr>
        <w:ilvl w:val="2"/>
        <w:numId w:val="3"/>
      </w:numPr>
    </w:pPr>
    <w:rPr>
      <w:rFonts w:ascii="宋体"/>
      <w:szCs w:val="21"/>
    </w:rPr>
  </w:style>
  <w:style w:type="paragraph" w:customStyle="1" w:styleId="67">
    <w:name w:val="编号列项（三级）"/>
    <w:autoRedefine/>
    <w:qFormat/>
    <w:uiPriority w:val="99"/>
    <w:pPr>
      <w:numPr>
        <w:ilvl w:val="2"/>
        <w:numId w:val="4"/>
      </w:numPr>
    </w:pPr>
    <w:rPr>
      <w:rFonts w:ascii="宋体" w:hAnsi="Times New Roman" w:eastAsia="宋体" w:cs="Times New Roman"/>
      <w:sz w:val="21"/>
      <w:lang w:val="en-US" w:eastAsia="zh-CN" w:bidi="ar-SA"/>
    </w:rPr>
  </w:style>
  <w:style w:type="paragraph" w:customStyle="1" w:styleId="68">
    <w:name w:val="示例×："/>
    <w:basedOn w:val="49"/>
    <w:autoRedefine/>
    <w:qFormat/>
    <w:uiPriority w:val="99"/>
    <w:pPr>
      <w:numPr>
        <w:numId w:val="0"/>
      </w:numPr>
      <w:spacing w:beforeLines="0" w:afterLines="0"/>
      <w:ind w:firstLine="363"/>
      <w:outlineLvl w:val="9"/>
    </w:pPr>
    <w:rPr>
      <w:rFonts w:ascii="宋体" w:eastAsia="宋体"/>
      <w:sz w:val="18"/>
      <w:szCs w:val="18"/>
    </w:rPr>
  </w:style>
  <w:style w:type="paragraph" w:customStyle="1" w:styleId="69">
    <w:name w:val="二级无"/>
    <w:basedOn w:val="50"/>
    <w:autoRedefine/>
    <w:qFormat/>
    <w:uiPriority w:val="99"/>
    <w:pPr>
      <w:spacing w:beforeLines="0" w:afterLines="0"/>
    </w:pPr>
    <w:rPr>
      <w:rFonts w:ascii="宋体" w:eastAsia="宋体"/>
    </w:rPr>
  </w:style>
  <w:style w:type="paragraph" w:customStyle="1" w:styleId="70">
    <w:name w:val="注：（正文）"/>
    <w:basedOn w:val="63"/>
    <w:next w:val="26"/>
    <w:autoRedefine/>
    <w:qFormat/>
    <w:uiPriority w:val="99"/>
  </w:style>
  <w:style w:type="paragraph" w:customStyle="1" w:styleId="71">
    <w:name w:val="注×：（正文）"/>
    <w:autoRedefine/>
    <w:qFormat/>
    <w:uiPriority w:val="99"/>
    <w:pPr>
      <w:numPr>
        <w:ilvl w:val="0"/>
        <w:numId w:val="5"/>
      </w:numPr>
      <w:jc w:val="both"/>
    </w:pPr>
    <w:rPr>
      <w:rFonts w:ascii="宋体" w:hAnsi="Times New Roman" w:eastAsia="宋体" w:cs="Times New Roman"/>
      <w:sz w:val="18"/>
      <w:szCs w:val="18"/>
      <w:lang w:val="en-US" w:eastAsia="zh-CN" w:bidi="ar-SA"/>
    </w:rPr>
  </w:style>
  <w:style w:type="paragraph" w:customStyle="1" w:styleId="72">
    <w:name w:val="标准标志"/>
    <w:next w:val="1"/>
    <w:autoRedefine/>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73">
    <w:name w:val="标准称谓"/>
    <w:next w:val="1"/>
    <w:autoRedefine/>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74">
    <w:name w:val="标准书脚_偶数页"/>
    <w:autoRedefine/>
    <w:qFormat/>
    <w:uiPriority w:val="99"/>
    <w:pPr>
      <w:spacing w:before="120"/>
      <w:ind w:left="221"/>
    </w:pPr>
    <w:rPr>
      <w:rFonts w:ascii="宋体" w:hAnsi="Times New Roman" w:eastAsia="宋体" w:cs="Times New Roman"/>
      <w:sz w:val="18"/>
      <w:szCs w:val="18"/>
      <w:lang w:val="en-US" w:eastAsia="zh-CN" w:bidi="ar-SA"/>
    </w:rPr>
  </w:style>
  <w:style w:type="paragraph" w:customStyle="1" w:styleId="75">
    <w:name w:val="标准书眉_偶数页"/>
    <w:basedOn w:val="48"/>
    <w:next w:val="1"/>
    <w:autoRedefine/>
    <w:qFormat/>
    <w:uiPriority w:val="99"/>
    <w:pPr>
      <w:jc w:val="left"/>
    </w:pPr>
  </w:style>
  <w:style w:type="paragraph" w:customStyle="1" w:styleId="76">
    <w:name w:val="标准书眉一"/>
    <w:qFormat/>
    <w:uiPriority w:val="99"/>
    <w:pPr>
      <w:jc w:val="both"/>
    </w:pPr>
    <w:rPr>
      <w:rFonts w:ascii="Times New Roman" w:hAnsi="Times New Roman" w:eastAsia="宋体" w:cs="Times New Roman"/>
      <w:lang w:val="en-US" w:eastAsia="zh-CN" w:bidi="ar-SA"/>
    </w:rPr>
  </w:style>
  <w:style w:type="paragraph" w:customStyle="1" w:styleId="77">
    <w:name w:val="参考文献"/>
    <w:basedOn w:val="1"/>
    <w:next w:val="26"/>
    <w:autoRedefine/>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78">
    <w:name w:val="参考文献、索引标题"/>
    <w:basedOn w:val="1"/>
    <w:next w:val="26"/>
    <w:autoRedefine/>
    <w:qFormat/>
    <w:uiPriority w:val="99"/>
    <w:pPr>
      <w:keepNext/>
      <w:pageBreakBefore/>
      <w:widowControl/>
      <w:shd w:val="clear" w:color="FFFFFF" w:fill="FFFFFF"/>
      <w:spacing w:before="640" w:after="200"/>
      <w:jc w:val="center"/>
      <w:outlineLvl w:val="0"/>
    </w:pPr>
    <w:rPr>
      <w:rFonts w:ascii="黑体" w:eastAsia="黑体"/>
      <w:kern w:val="0"/>
      <w:szCs w:val="20"/>
    </w:rPr>
  </w:style>
  <w:style w:type="character" w:customStyle="1" w:styleId="79">
    <w:name w:val="发布"/>
    <w:basedOn w:val="37"/>
    <w:autoRedefine/>
    <w:qFormat/>
    <w:uiPriority w:val="99"/>
    <w:rPr>
      <w:rFonts w:ascii="黑体" w:eastAsia="黑体" w:cs="Times New Roman"/>
      <w:spacing w:val="85"/>
      <w:w w:val="100"/>
      <w:position w:val="3"/>
      <w:sz w:val="28"/>
      <w:szCs w:val="28"/>
    </w:rPr>
  </w:style>
  <w:style w:type="paragraph" w:customStyle="1" w:styleId="80">
    <w:name w:val="发布部门"/>
    <w:next w:val="26"/>
    <w:autoRedefine/>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1">
    <w:name w:val="发布日期"/>
    <w:autoRedefine/>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2">
    <w:name w:val="封面标准代替信息"/>
    <w:autoRedefine/>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3">
    <w:name w:val="封面标准号1"/>
    <w:autoRedefine/>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4">
    <w:name w:val="封面标准名称"/>
    <w:autoRedefine/>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5">
    <w:name w:val="封面标准英文名称"/>
    <w:basedOn w:val="84"/>
    <w:autoRedefine/>
    <w:qFormat/>
    <w:uiPriority w:val="99"/>
    <w:pPr>
      <w:framePr w:wrap="around"/>
      <w:spacing w:before="370" w:line="400" w:lineRule="exact"/>
    </w:pPr>
    <w:rPr>
      <w:rFonts w:ascii="Times New Roman"/>
      <w:sz w:val="28"/>
      <w:szCs w:val="28"/>
    </w:rPr>
  </w:style>
  <w:style w:type="paragraph" w:customStyle="1" w:styleId="86">
    <w:name w:val="封面一致性程度标识"/>
    <w:basedOn w:val="85"/>
    <w:autoRedefine/>
    <w:qFormat/>
    <w:uiPriority w:val="99"/>
    <w:pPr>
      <w:framePr w:wrap="around"/>
      <w:spacing w:before="440"/>
    </w:pPr>
    <w:rPr>
      <w:rFonts w:ascii="宋体" w:eastAsia="宋体"/>
    </w:rPr>
  </w:style>
  <w:style w:type="paragraph" w:customStyle="1" w:styleId="87">
    <w:name w:val="封面标准文稿类别"/>
    <w:basedOn w:val="86"/>
    <w:autoRedefine/>
    <w:qFormat/>
    <w:uiPriority w:val="99"/>
    <w:pPr>
      <w:framePr w:wrap="around"/>
      <w:spacing w:after="160" w:line="240" w:lineRule="auto"/>
    </w:pPr>
    <w:rPr>
      <w:sz w:val="24"/>
    </w:rPr>
  </w:style>
  <w:style w:type="paragraph" w:customStyle="1" w:styleId="88">
    <w:name w:val="封面标准文稿编辑信息"/>
    <w:basedOn w:val="87"/>
    <w:qFormat/>
    <w:uiPriority w:val="99"/>
    <w:pPr>
      <w:framePr w:wrap="around"/>
      <w:spacing w:before="180" w:line="180" w:lineRule="exact"/>
    </w:pPr>
    <w:rPr>
      <w:sz w:val="21"/>
    </w:rPr>
  </w:style>
  <w:style w:type="paragraph" w:customStyle="1" w:styleId="89">
    <w:name w:val="封面正文"/>
    <w:autoRedefine/>
    <w:qFormat/>
    <w:uiPriority w:val="99"/>
    <w:pPr>
      <w:jc w:val="both"/>
    </w:pPr>
    <w:rPr>
      <w:rFonts w:ascii="Times New Roman" w:hAnsi="Times New Roman" w:eastAsia="宋体" w:cs="Times New Roman"/>
      <w:lang w:val="en-US" w:eastAsia="zh-CN" w:bidi="ar-SA"/>
    </w:rPr>
  </w:style>
  <w:style w:type="paragraph" w:customStyle="1" w:styleId="90">
    <w:name w:val="附录标识"/>
    <w:basedOn w:val="1"/>
    <w:next w:val="26"/>
    <w:qFormat/>
    <w:uiPriority w:val="99"/>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91">
    <w:name w:val="附录标题"/>
    <w:basedOn w:val="26"/>
    <w:next w:val="26"/>
    <w:autoRedefine/>
    <w:qFormat/>
    <w:uiPriority w:val="99"/>
    <w:pPr>
      <w:ind w:firstLine="0" w:firstLineChars="0"/>
      <w:jc w:val="center"/>
    </w:pPr>
    <w:rPr>
      <w:rFonts w:ascii="黑体" w:eastAsia="黑体"/>
    </w:rPr>
  </w:style>
  <w:style w:type="paragraph" w:customStyle="1" w:styleId="92">
    <w:name w:val="附录表标号"/>
    <w:basedOn w:val="1"/>
    <w:next w:val="26"/>
    <w:autoRedefine/>
    <w:qFormat/>
    <w:uiPriority w:val="99"/>
    <w:pPr>
      <w:numPr>
        <w:ilvl w:val="0"/>
        <w:numId w:val="7"/>
      </w:numPr>
      <w:spacing w:line="14" w:lineRule="exact"/>
      <w:ind w:left="811" w:hanging="448"/>
      <w:jc w:val="center"/>
      <w:outlineLvl w:val="0"/>
    </w:pPr>
    <w:rPr>
      <w:color w:val="FFFFFF"/>
    </w:rPr>
  </w:style>
  <w:style w:type="paragraph" w:customStyle="1" w:styleId="93">
    <w:name w:val="附录表标题"/>
    <w:basedOn w:val="1"/>
    <w:next w:val="26"/>
    <w:autoRedefine/>
    <w:qFormat/>
    <w:uiPriority w:val="99"/>
    <w:pPr>
      <w:numPr>
        <w:ilvl w:val="1"/>
        <w:numId w:val="7"/>
      </w:numPr>
      <w:tabs>
        <w:tab w:val="left" w:pos="180"/>
      </w:tabs>
      <w:spacing w:beforeLines="50" w:afterLines="50"/>
      <w:jc w:val="center"/>
    </w:pPr>
    <w:rPr>
      <w:rFonts w:ascii="黑体" w:eastAsia="黑体"/>
      <w:szCs w:val="21"/>
    </w:rPr>
  </w:style>
  <w:style w:type="paragraph" w:customStyle="1" w:styleId="94">
    <w:name w:val="附录二级条标题"/>
    <w:basedOn w:val="1"/>
    <w:next w:val="26"/>
    <w:autoRedefine/>
    <w:qFormat/>
    <w:uiPriority w:val="99"/>
    <w:pPr>
      <w:widowControl/>
      <w:numPr>
        <w:ilvl w:val="3"/>
        <w:numId w:val="6"/>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5">
    <w:name w:val="附录二级无"/>
    <w:basedOn w:val="94"/>
    <w:autoRedefine/>
    <w:qFormat/>
    <w:uiPriority w:val="99"/>
    <w:pPr>
      <w:spacing w:beforeLines="0" w:afterLines="0"/>
    </w:pPr>
    <w:rPr>
      <w:rFonts w:ascii="宋体" w:eastAsia="宋体"/>
      <w:szCs w:val="21"/>
    </w:rPr>
  </w:style>
  <w:style w:type="paragraph" w:customStyle="1" w:styleId="96">
    <w:name w:val="附录公式"/>
    <w:basedOn w:val="26"/>
    <w:next w:val="26"/>
    <w:link w:val="97"/>
    <w:autoRedefine/>
    <w:qFormat/>
    <w:uiPriority w:val="99"/>
  </w:style>
  <w:style w:type="character" w:customStyle="1" w:styleId="97">
    <w:name w:val="附录公式 Char"/>
    <w:basedOn w:val="45"/>
    <w:link w:val="96"/>
    <w:autoRedefine/>
    <w:qFormat/>
    <w:locked/>
    <w:uiPriority w:val="99"/>
    <w:rPr>
      <w:rFonts w:ascii="宋体" w:cs="Times New Roman"/>
      <w:sz w:val="21"/>
      <w:lang w:val="en-US" w:eastAsia="zh-CN" w:bidi="ar-SA"/>
    </w:rPr>
  </w:style>
  <w:style w:type="paragraph" w:customStyle="1" w:styleId="98">
    <w:name w:val="附录公式编号制表符"/>
    <w:basedOn w:val="1"/>
    <w:next w:val="26"/>
    <w:autoRedefine/>
    <w:qFormat/>
    <w:uiPriority w:val="99"/>
    <w:pPr>
      <w:widowControl/>
      <w:tabs>
        <w:tab w:val="center" w:pos="4201"/>
        <w:tab w:val="right" w:leader="dot" w:pos="9298"/>
      </w:tabs>
      <w:autoSpaceDE w:val="0"/>
      <w:autoSpaceDN w:val="0"/>
    </w:pPr>
    <w:rPr>
      <w:rFonts w:ascii="宋体"/>
      <w:kern w:val="0"/>
      <w:szCs w:val="20"/>
    </w:rPr>
  </w:style>
  <w:style w:type="paragraph" w:customStyle="1" w:styleId="99">
    <w:name w:val="附录三级条标题"/>
    <w:basedOn w:val="94"/>
    <w:next w:val="26"/>
    <w:autoRedefine/>
    <w:qFormat/>
    <w:uiPriority w:val="99"/>
    <w:pPr>
      <w:numPr>
        <w:ilvl w:val="4"/>
      </w:numPr>
      <w:outlineLvl w:val="4"/>
    </w:pPr>
  </w:style>
  <w:style w:type="paragraph" w:customStyle="1" w:styleId="100">
    <w:name w:val="附录三级无"/>
    <w:basedOn w:val="99"/>
    <w:autoRedefine/>
    <w:qFormat/>
    <w:uiPriority w:val="99"/>
    <w:pPr>
      <w:spacing w:beforeLines="0" w:afterLines="0"/>
    </w:pPr>
    <w:rPr>
      <w:rFonts w:ascii="宋体" w:eastAsia="宋体"/>
      <w:szCs w:val="21"/>
    </w:rPr>
  </w:style>
  <w:style w:type="paragraph" w:customStyle="1" w:styleId="101">
    <w:name w:val="附录数字编号列项（二级）"/>
    <w:autoRedefine/>
    <w:qFormat/>
    <w:uiPriority w:val="99"/>
    <w:pPr>
      <w:numPr>
        <w:ilvl w:val="1"/>
        <w:numId w:val="8"/>
      </w:numPr>
    </w:pPr>
    <w:rPr>
      <w:rFonts w:ascii="宋体" w:hAnsi="Times New Roman" w:eastAsia="宋体" w:cs="Times New Roman"/>
      <w:sz w:val="21"/>
      <w:lang w:val="en-US" w:eastAsia="zh-CN" w:bidi="ar-SA"/>
    </w:rPr>
  </w:style>
  <w:style w:type="paragraph" w:customStyle="1" w:styleId="102">
    <w:name w:val="附录四级条标题"/>
    <w:basedOn w:val="99"/>
    <w:next w:val="26"/>
    <w:autoRedefine/>
    <w:qFormat/>
    <w:uiPriority w:val="99"/>
    <w:pPr>
      <w:numPr>
        <w:ilvl w:val="5"/>
      </w:numPr>
      <w:outlineLvl w:val="5"/>
    </w:pPr>
  </w:style>
  <w:style w:type="paragraph" w:customStyle="1" w:styleId="103">
    <w:name w:val="附录四级无"/>
    <w:basedOn w:val="102"/>
    <w:autoRedefine/>
    <w:qFormat/>
    <w:uiPriority w:val="99"/>
    <w:pPr>
      <w:spacing w:beforeLines="0" w:afterLines="0"/>
    </w:pPr>
    <w:rPr>
      <w:rFonts w:ascii="宋体" w:eastAsia="宋体"/>
      <w:szCs w:val="21"/>
    </w:rPr>
  </w:style>
  <w:style w:type="paragraph" w:customStyle="1" w:styleId="104">
    <w:name w:val="附录图标号"/>
    <w:basedOn w:val="1"/>
    <w:autoRedefine/>
    <w:qFormat/>
    <w:uiPriority w:val="99"/>
    <w:pPr>
      <w:keepNext/>
      <w:pageBreakBefore/>
      <w:widowControl/>
      <w:numPr>
        <w:ilvl w:val="0"/>
        <w:numId w:val="9"/>
      </w:numPr>
      <w:spacing w:line="14" w:lineRule="exact"/>
      <w:ind w:firstLine="363"/>
      <w:jc w:val="center"/>
      <w:outlineLvl w:val="0"/>
    </w:pPr>
    <w:rPr>
      <w:color w:val="FFFFFF"/>
    </w:rPr>
  </w:style>
  <w:style w:type="paragraph" w:customStyle="1" w:styleId="105">
    <w:name w:val="附录图标题"/>
    <w:basedOn w:val="1"/>
    <w:next w:val="26"/>
    <w:autoRedefine/>
    <w:qFormat/>
    <w:uiPriority w:val="99"/>
    <w:pPr>
      <w:numPr>
        <w:ilvl w:val="1"/>
        <w:numId w:val="9"/>
      </w:numPr>
      <w:tabs>
        <w:tab w:val="left" w:pos="363"/>
      </w:tabs>
      <w:spacing w:beforeLines="50" w:afterLines="50"/>
      <w:jc w:val="center"/>
    </w:pPr>
    <w:rPr>
      <w:rFonts w:ascii="黑体" w:eastAsia="黑体"/>
      <w:szCs w:val="21"/>
    </w:rPr>
  </w:style>
  <w:style w:type="paragraph" w:customStyle="1" w:styleId="106">
    <w:name w:val="附录五级条标题"/>
    <w:basedOn w:val="102"/>
    <w:next w:val="26"/>
    <w:autoRedefine/>
    <w:qFormat/>
    <w:uiPriority w:val="99"/>
    <w:pPr>
      <w:numPr>
        <w:ilvl w:val="6"/>
      </w:numPr>
      <w:outlineLvl w:val="6"/>
    </w:pPr>
  </w:style>
  <w:style w:type="paragraph" w:customStyle="1" w:styleId="107">
    <w:name w:val="附录五级无"/>
    <w:basedOn w:val="106"/>
    <w:autoRedefine/>
    <w:qFormat/>
    <w:uiPriority w:val="99"/>
    <w:pPr>
      <w:spacing w:beforeLines="0" w:afterLines="0"/>
    </w:pPr>
    <w:rPr>
      <w:rFonts w:ascii="宋体" w:eastAsia="宋体"/>
      <w:szCs w:val="21"/>
    </w:rPr>
  </w:style>
  <w:style w:type="paragraph" w:customStyle="1" w:styleId="108">
    <w:name w:val="附录章标题"/>
    <w:next w:val="26"/>
    <w:autoRedefine/>
    <w:qFormat/>
    <w:uiPriority w:val="99"/>
    <w:pPr>
      <w:numPr>
        <w:ilvl w:val="1"/>
        <w:numId w:val="6"/>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9">
    <w:name w:val="附录一级条标题"/>
    <w:basedOn w:val="108"/>
    <w:next w:val="26"/>
    <w:autoRedefine/>
    <w:qFormat/>
    <w:uiPriority w:val="99"/>
    <w:pPr>
      <w:numPr>
        <w:ilvl w:val="2"/>
      </w:numPr>
      <w:autoSpaceDN w:val="0"/>
      <w:spacing w:beforeLines="50" w:afterLines="50"/>
      <w:outlineLvl w:val="2"/>
    </w:pPr>
  </w:style>
  <w:style w:type="paragraph" w:customStyle="1" w:styleId="110">
    <w:name w:val="附录一级无"/>
    <w:basedOn w:val="109"/>
    <w:autoRedefine/>
    <w:qFormat/>
    <w:uiPriority w:val="99"/>
    <w:pPr>
      <w:spacing w:beforeLines="0" w:afterLines="0"/>
    </w:pPr>
    <w:rPr>
      <w:rFonts w:ascii="宋体" w:eastAsia="宋体"/>
      <w:szCs w:val="21"/>
    </w:rPr>
  </w:style>
  <w:style w:type="paragraph" w:customStyle="1" w:styleId="111">
    <w:name w:val="附录字母编号列项（一级）"/>
    <w:autoRedefine/>
    <w:qFormat/>
    <w:uiPriority w:val="99"/>
    <w:pPr>
      <w:numPr>
        <w:ilvl w:val="0"/>
        <w:numId w:val="8"/>
      </w:numPr>
    </w:pPr>
    <w:rPr>
      <w:rFonts w:ascii="宋体" w:hAnsi="Times New Roman" w:eastAsia="宋体" w:cs="Times New Roman"/>
      <w:sz w:val="21"/>
      <w:lang w:val="en-US" w:eastAsia="zh-CN" w:bidi="ar-SA"/>
    </w:rPr>
  </w:style>
  <w:style w:type="character" w:customStyle="1" w:styleId="112">
    <w:name w:val="脚注文本 字符"/>
    <w:basedOn w:val="37"/>
    <w:link w:val="27"/>
    <w:autoRedefine/>
    <w:qFormat/>
    <w:locked/>
    <w:uiPriority w:val="99"/>
    <w:rPr>
      <w:rFonts w:ascii="宋体"/>
      <w:sz w:val="18"/>
      <w:szCs w:val="18"/>
    </w:rPr>
  </w:style>
  <w:style w:type="paragraph" w:customStyle="1" w:styleId="113">
    <w:name w:val="列项说明"/>
    <w:basedOn w:val="1"/>
    <w:autoRedefine/>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列项说明数字编号"/>
    <w:autoRedefine/>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15">
    <w:name w:val="目次、索引正文"/>
    <w:autoRedefine/>
    <w:qFormat/>
    <w:uiPriority w:val="99"/>
    <w:pPr>
      <w:spacing w:line="320" w:lineRule="exact"/>
      <w:jc w:val="both"/>
    </w:pPr>
    <w:rPr>
      <w:rFonts w:ascii="宋体" w:hAnsi="Times New Roman" w:eastAsia="宋体" w:cs="Times New Roman"/>
      <w:sz w:val="21"/>
      <w:lang w:val="en-US" w:eastAsia="zh-CN" w:bidi="ar-SA"/>
    </w:rPr>
  </w:style>
  <w:style w:type="paragraph" w:customStyle="1" w:styleId="116">
    <w:name w:val="其他标准标志"/>
    <w:basedOn w:val="72"/>
    <w:autoRedefine/>
    <w:qFormat/>
    <w:uiPriority w:val="99"/>
    <w:pPr>
      <w:framePr w:w="6101" w:wrap="around" w:vAnchor="page" w:hAnchor="page" w:x="4673" w:y="942"/>
    </w:pPr>
    <w:rPr>
      <w:w w:val="130"/>
    </w:rPr>
  </w:style>
  <w:style w:type="paragraph" w:customStyle="1" w:styleId="117">
    <w:name w:val="其他标准称谓"/>
    <w:next w:val="1"/>
    <w:autoRedefine/>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18">
    <w:name w:val="其他发布部门"/>
    <w:basedOn w:val="80"/>
    <w:autoRedefine/>
    <w:qFormat/>
    <w:uiPriority w:val="99"/>
    <w:pPr>
      <w:framePr w:wrap="around" w:y="15310"/>
      <w:spacing w:line="240" w:lineRule="atLeast"/>
    </w:pPr>
    <w:rPr>
      <w:rFonts w:ascii="黑体" w:eastAsia="黑体"/>
      <w:b w:val="0"/>
    </w:rPr>
  </w:style>
  <w:style w:type="paragraph" w:customStyle="1" w:styleId="119">
    <w:name w:val="前言、引言标题"/>
    <w:next w:val="26"/>
    <w:autoRedefine/>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三级无"/>
    <w:basedOn w:val="55"/>
    <w:autoRedefine/>
    <w:qFormat/>
    <w:uiPriority w:val="99"/>
    <w:pPr>
      <w:spacing w:beforeLines="0" w:afterLines="0"/>
    </w:pPr>
    <w:rPr>
      <w:rFonts w:ascii="宋体" w:eastAsia="宋体"/>
    </w:rPr>
  </w:style>
  <w:style w:type="paragraph" w:customStyle="1" w:styleId="121">
    <w:name w:val="实施日期"/>
    <w:basedOn w:val="81"/>
    <w:autoRedefine/>
    <w:qFormat/>
    <w:uiPriority w:val="99"/>
    <w:pPr>
      <w:framePr w:wrap="around" w:vAnchor="page" w:hAnchor="text"/>
      <w:jc w:val="right"/>
    </w:pPr>
  </w:style>
  <w:style w:type="paragraph" w:customStyle="1" w:styleId="122">
    <w:name w:val="示例后文字"/>
    <w:basedOn w:val="26"/>
    <w:next w:val="26"/>
    <w:autoRedefine/>
    <w:qFormat/>
    <w:uiPriority w:val="99"/>
    <w:pPr>
      <w:ind w:firstLine="360"/>
    </w:pPr>
    <w:rPr>
      <w:sz w:val="18"/>
    </w:rPr>
  </w:style>
  <w:style w:type="paragraph" w:customStyle="1" w:styleId="123">
    <w:name w:val="首示例"/>
    <w:next w:val="26"/>
    <w:link w:val="124"/>
    <w:autoRedefine/>
    <w:qFormat/>
    <w:uiPriority w:val="99"/>
    <w:pPr>
      <w:tabs>
        <w:tab w:val="left" w:pos="360"/>
      </w:tabs>
    </w:pPr>
    <w:rPr>
      <w:rFonts w:ascii="宋体" w:hAnsi="宋体" w:eastAsia="宋体" w:cs="Times New Roman"/>
      <w:kern w:val="2"/>
      <w:sz w:val="18"/>
      <w:szCs w:val="18"/>
      <w:lang w:val="en-US" w:eastAsia="zh-CN" w:bidi="ar-SA"/>
    </w:rPr>
  </w:style>
  <w:style w:type="character" w:customStyle="1" w:styleId="124">
    <w:name w:val="首示例 Char"/>
    <w:basedOn w:val="37"/>
    <w:link w:val="123"/>
    <w:autoRedefine/>
    <w:qFormat/>
    <w:locked/>
    <w:uiPriority w:val="99"/>
    <w:rPr>
      <w:rFonts w:ascii="宋体" w:eastAsia="宋体" w:cs="Times New Roman"/>
      <w:kern w:val="2"/>
      <w:sz w:val="18"/>
      <w:szCs w:val="18"/>
      <w:lang w:val="en-US" w:eastAsia="zh-CN" w:bidi="ar-SA"/>
    </w:rPr>
  </w:style>
  <w:style w:type="paragraph" w:customStyle="1" w:styleId="125">
    <w:name w:val="四级无"/>
    <w:basedOn w:val="59"/>
    <w:autoRedefine/>
    <w:qFormat/>
    <w:uiPriority w:val="99"/>
    <w:pPr>
      <w:spacing w:beforeLines="0" w:afterLines="0"/>
    </w:pPr>
    <w:rPr>
      <w:rFonts w:ascii="宋体" w:eastAsia="宋体"/>
    </w:rPr>
  </w:style>
  <w:style w:type="paragraph" w:customStyle="1" w:styleId="126">
    <w:name w:val="条文脚注"/>
    <w:basedOn w:val="27"/>
    <w:autoRedefine/>
    <w:qFormat/>
    <w:uiPriority w:val="99"/>
    <w:pPr>
      <w:numPr>
        <w:numId w:val="0"/>
      </w:numPr>
      <w:jc w:val="both"/>
    </w:pPr>
  </w:style>
  <w:style w:type="paragraph" w:customStyle="1" w:styleId="127">
    <w:name w:val="图标脚注说明"/>
    <w:basedOn w:val="26"/>
    <w:autoRedefine/>
    <w:qFormat/>
    <w:uiPriority w:val="99"/>
    <w:pPr>
      <w:ind w:left="840" w:hanging="420" w:firstLineChars="0"/>
    </w:pPr>
    <w:rPr>
      <w:sz w:val="18"/>
      <w:szCs w:val="18"/>
    </w:rPr>
  </w:style>
  <w:style w:type="paragraph" w:customStyle="1" w:styleId="128">
    <w:name w:val="图表脚注说明"/>
    <w:basedOn w:val="1"/>
    <w:autoRedefine/>
    <w:qFormat/>
    <w:uiPriority w:val="99"/>
    <w:pPr>
      <w:ind w:left="544" w:hanging="181"/>
    </w:pPr>
    <w:rPr>
      <w:rFonts w:ascii="宋体"/>
      <w:sz w:val="18"/>
      <w:szCs w:val="18"/>
    </w:rPr>
  </w:style>
  <w:style w:type="paragraph" w:customStyle="1" w:styleId="129">
    <w:name w:val="图的脚注"/>
    <w:next w:val="26"/>
    <w:autoRedefine/>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130">
    <w:name w:val="尾注文本 字符"/>
    <w:basedOn w:val="37"/>
    <w:link w:val="18"/>
    <w:autoRedefine/>
    <w:semiHidden/>
    <w:qFormat/>
    <w:locked/>
    <w:uiPriority w:val="99"/>
    <w:rPr>
      <w:rFonts w:cs="Times New Roman"/>
      <w:sz w:val="24"/>
      <w:szCs w:val="24"/>
    </w:rPr>
  </w:style>
  <w:style w:type="character" w:customStyle="1" w:styleId="131">
    <w:name w:val="文档结构图 字符"/>
    <w:basedOn w:val="37"/>
    <w:link w:val="7"/>
    <w:autoRedefine/>
    <w:semiHidden/>
    <w:qFormat/>
    <w:locked/>
    <w:uiPriority w:val="99"/>
    <w:rPr>
      <w:rFonts w:cs="Times New Roman"/>
      <w:sz w:val="2"/>
    </w:rPr>
  </w:style>
  <w:style w:type="paragraph" w:customStyle="1" w:styleId="132">
    <w:name w:val="文献分类号"/>
    <w:autoRedefine/>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3">
    <w:name w:val="五级无"/>
    <w:basedOn w:val="60"/>
    <w:autoRedefine/>
    <w:qFormat/>
    <w:uiPriority w:val="99"/>
    <w:pPr>
      <w:spacing w:beforeLines="0" w:afterLines="0"/>
    </w:pPr>
    <w:rPr>
      <w:rFonts w:ascii="宋体" w:eastAsia="宋体"/>
    </w:rPr>
  </w:style>
  <w:style w:type="paragraph" w:customStyle="1" w:styleId="134">
    <w:name w:val="一级无"/>
    <w:basedOn w:val="46"/>
    <w:autoRedefine/>
    <w:qFormat/>
    <w:uiPriority w:val="99"/>
    <w:pPr>
      <w:spacing w:beforeLines="0" w:afterLines="0"/>
    </w:pPr>
    <w:rPr>
      <w:rFonts w:ascii="宋体" w:eastAsia="宋体"/>
    </w:rPr>
  </w:style>
  <w:style w:type="paragraph" w:customStyle="1" w:styleId="135">
    <w:name w:val="正文表标题"/>
    <w:next w:val="26"/>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6">
    <w:name w:val="正文公式编号制表符"/>
    <w:basedOn w:val="26"/>
    <w:next w:val="26"/>
    <w:autoRedefine/>
    <w:qFormat/>
    <w:uiPriority w:val="99"/>
    <w:pPr>
      <w:ind w:firstLine="0" w:firstLineChars="0"/>
    </w:pPr>
  </w:style>
  <w:style w:type="paragraph" w:customStyle="1" w:styleId="137">
    <w:name w:val="正文图标题"/>
    <w:next w:val="26"/>
    <w:autoRedefine/>
    <w:qFormat/>
    <w:uiPriority w:val="99"/>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8">
    <w:name w:val="终结线"/>
    <w:basedOn w:val="1"/>
    <w:autoRedefine/>
    <w:qFormat/>
    <w:uiPriority w:val="99"/>
    <w:pPr>
      <w:framePr w:hSpace="181" w:vSpace="181" w:wrap="around" w:vAnchor="text" w:hAnchor="margin" w:xAlign="center" w:y="285"/>
    </w:pPr>
  </w:style>
  <w:style w:type="paragraph" w:customStyle="1" w:styleId="139">
    <w:name w:val="其他发布日期"/>
    <w:basedOn w:val="81"/>
    <w:autoRedefine/>
    <w:qFormat/>
    <w:uiPriority w:val="99"/>
    <w:pPr>
      <w:framePr w:wrap="around" w:vAnchor="page" w:hAnchor="text" w:x="1419"/>
    </w:pPr>
  </w:style>
  <w:style w:type="paragraph" w:customStyle="1" w:styleId="140">
    <w:name w:val="其他实施日期"/>
    <w:basedOn w:val="121"/>
    <w:autoRedefine/>
    <w:qFormat/>
    <w:uiPriority w:val="99"/>
    <w:pPr>
      <w:framePr w:wrap="around"/>
    </w:pPr>
  </w:style>
  <w:style w:type="paragraph" w:customStyle="1" w:styleId="141">
    <w:name w:val="封面标准名称2"/>
    <w:basedOn w:val="84"/>
    <w:autoRedefine/>
    <w:qFormat/>
    <w:uiPriority w:val="99"/>
    <w:pPr>
      <w:framePr w:wrap="around" w:y="4469"/>
      <w:spacing w:beforeLines="630"/>
    </w:pPr>
  </w:style>
  <w:style w:type="paragraph" w:customStyle="1" w:styleId="142">
    <w:name w:val="封面标准英文名称2"/>
    <w:basedOn w:val="85"/>
    <w:autoRedefine/>
    <w:qFormat/>
    <w:uiPriority w:val="99"/>
    <w:pPr>
      <w:framePr w:wrap="around" w:y="4469"/>
    </w:pPr>
  </w:style>
  <w:style w:type="paragraph" w:customStyle="1" w:styleId="143">
    <w:name w:val="封面一致性程度标识2"/>
    <w:basedOn w:val="86"/>
    <w:autoRedefine/>
    <w:qFormat/>
    <w:uiPriority w:val="99"/>
    <w:pPr>
      <w:framePr w:wrap="around" w:y="4469"/>
    </w:pPr>
  </w:style>
  <w:style w:type="paragraph" w:customStyle="1" w:styleId="144">
    <w:name w:val="封面标准文稿类别2"/>
    <w:basedOn w:val="87"/>
    <w:autoRedefine/>
    <w:qFormat/>
    <w:uiPriority w:val="99"/>
    <w:pPr>
      <w:framePr w:wrap="around" w:y="4469"/>
    </w:pPr>
  </w:style>
  <w:style w:type="paragraph" w:customStyle="1" w:styleId="145">
    <w:name w:val="封面标准文稿编辑信息2"/>
    <w:basedOn w:val="88"/>
    <w:autoRedefine/>
    <w:qFormat/>
    <w:uiPriority w:val="99"/>
    <w:pPr>
      <w:framePr w:wrap="around" w:y="4469"/>
    </w:pPr>
  </w:style>
  <w:style w:type="character" w:customStyle="1" w:styleId="146">
    <w:name w:val="批注框文本 字符"/>
    <w:basedOn w:val="37"/>
    <w:link w:val="19"/>
    <w:autoRedefine/>
    <w:qFormat/>
    <w:locked/>
    <w:uiPriority w:val="99"/>
    <w:rPr>
      <w:rFonts w:cs="Times New Roman"/>
      <w:kern w:val="2"/>
      <w:sz w:val="18"/>
      <w:szCs w:val="18"/>
    </w:rPr>
  </w:style>
  <w:style w:type="paragraph" w:customStyle="1" w:styleId="147">
    <w:name w:val="Default"/>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48">
    <w:name w:val="日期 字符"/>
    <w:basedOn w:val="37"/>
    <w:link w:val="17"/>
    <w:autoRedefine/>
    <w:qFormat/>
    <w:locked/>
    <w:uiPriority w:val="99"/>
    <w:rPr>
      <w:rFonts w:cs="Times New Roman"/>
      <w:kern w:val="2"/>
      <w:sz w:val="24"/>
      <w:szCs w:val="24"/>
    </w:rPr>
  </w:style>
  <w:style w:type="character" w:customStyle="1" w:styleId="149">
    <w:name w:val="批注文字 字符"/>
    <w:basedOn w:val="37"/>
    <w:link w:val="8"/>
    <w:autoRedefine/>
    <w:semiHidden/>
    <w:qFormat/>
    <w:locked/>
    <w:uiPriority w:val="99"/>
    <w:rPr>
      <w:rFonts w:cs="Times New Roman"/>
      <w:kern w:val="2"/>
      <w:sz w:val="24"/>
      <w:szCs w:val="24"/>
    </w:rPr>
  </w:style>
  <w:style w:type="character" w:customStyle="1" w:styleId="150">
    <w:name w:val="批注主题 字符"/>
    <w:basedOn w:val="149"/>
    <w:link w:val="34"/>
    <w:autoRedefine/>
    <w:semiHidden/>
    <w:qFormat/>
    <w:locked/>
    <w:uiPriority w:val="99"/>
    <w:rPr>
      <w:rFonts w:cs="Times New Roman"/>
      <w:b/>
      <w:bCs/>
      <w:kern w:val="2"/>
      <w:sz w:val="24"/>
      <w:szCs w:val="24"/>
    </w:rPr>
  </w:style>
  <w:style w:type="paragraph" w:styleId="151">
    <w:name w:val="List Paragraph"/>
    <w:basedOn w:val="1"/>
    <w:autoRedefine/>
    <w:qFormat/>
    <w:uiPriority w:val="34"/>
    <w:pPr>
      <w:ind w:firstLine="420" w:firstLineChars="200"/>
    </w:pPr>
    <w:rPr>
      <w:rFonts w:asciiTheme="minorHAnsi" w:hAnsiTheme="minorHAnsi" w:eastAsiaTheme="minorEastAsia" w:cstheme="minorBidi"/>
      <w:szCs w:val="22"/>
    </w:rPr>
  </w:style>
  <w:style w:type="paragraph" w:customStyle="1" w:styleId="152">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53">
    <w:name w:val="Table Text"/>
    <w:basedOn w:val="1"/>
    <w:semiHidden/>
    <w:qFormat/>
    <w:uiPriority w:val="0"/>
    <w:rPr>
      <w:rFonts w:ascii="宋体" w:hAnsi="宋体" w:cs="宋体"/>
      <w:sz w:val="18"/>
      <w:szCs w:val="18"/>
      <w:lang w:eastAsia="en-US"/>
    </w:rPr>
  </w:style>
  <w:style w:type="table" w:customStyle="1" w:styleId="154">
    <w:name w:val="Table Normal"/>
    <w:semiHidden/>
    <w:unhideWhenUsed/>
    <w:qFormat/>
    <w:uiPriority w:val="0"/>
    <w:tblPr>
      <w:tblCellMar>
        <w:top w:w="0" w:type="dxa"/>
        <w:left w:w="0" w:type="dxa"/>
        <w:bottom w:w="0" w:type="dxa"/>
        <w:right w:w="0" w:type="dxa"/>
      </w:tblCellMar>
    </w:tblPr>
  </w:style>
  <w:style w:type="character" w:customStyle="1" w:styleId="155">
    <w:name w:val="font31"/>
    <w:basedOn w:val="37"/>
    <w:qFormat/>
    <w:uiPriority w:val="0"/>
    <w:rPr>
      <w:rFonts w:hint="default" w:ascii="Times New Roman" w:hAnsi="Times New Roman" w:cs="Times New Roman"/>
      <w:color w:val="000000"/>
      <w:sz w:val="20"/>
      <w:szCs w:val="20"/>
      <w:u w:val="none"/>
    </w:rPr>
  </w:style>
  <w:style w:type="character" w:customStyle="1" w:styleId="156">
    <w:name w:val="font71"/>
    <w:basedOn w:val="37"/>
    <w:qFormat/>
    <w:uiPriority w:val="0"/>
    <w:rPr>
      <w:rFonts w:hint="eastAsia" w:ascii="仿宋" w:hAnsi="仿宋" w:eastAsia="仿宋" w:cs="仿宋"/>
      <w:color w:val="000000"/>
      <w:sz w:val="20"/>
      <w:szCs w:val="20"/>
      <w:u w:val="none"/>
    </w:rPr>
  </w:style>
  <w:style w:type="character" w:customStyle="1" w:styleId="157">
    <w:name w:val="font41"/>
    <w:basedOn w:val="37"/>
    <w:qFormat/>
    <w:uiPriority w:val="0"/>
    <w:rPr>
      <w:rFonts w:hint="default" w:ascii="Times New Roman" w:hAnsi="Times New Roman" w:cs="Times New Roman"/>
      <w:color w:val="000000"/>
      <w:sz w:val="20"/>
      <w:szCs w:val="20"/>
      <w:u w:val="none"/>
    </w:rPr>
  </w:style>
  <w:style w:type="character" w:customStyle="1" w:styleId="158">
    <w:name w:val="font91"/>
    <w:basedOn w:val="37"/>
    <w:qFormat/>
    <w:uiPriority w:val="0"/>
    <w:rPr>
      <w:rFonts w:hint="eastAsia" w:ascii="仿宋" w:hAnsi="仿宋" w:eastAsia="仿宋" w:cs="仿宋"/>
      <w:color w:val="000000"/>
      <w:sz w:val="20"/>
      <w:szCs w:val="20"/>
      <w:u w:val="none"/>
    </w:rPr>
  </w:style>
  <w:style w:type="character" w:customStyle="1" w:styleId="159">
    <w:name w:val="font21"/>
    <w:basedOn w:val="37"/>
    <w:qFormat/>
    <w:uiPriority w:val="0"/>
    <w:rPr>
      <w:rFonts w:hint="eastAsia" w:ascii="仿宋" w:hAnsi="仿宋" w:eastAsia="仿宋" w:cs="仿宋"/>
      <w:color w:val="000000"/>
      <w:sz w:val="20"/>
      <w:szCs w:val="20"/>
      <w:u w:val="none"/>
    </w:rPr>
  </w:style>
  <w:style w:type="character" w:customStyle="1" w:styleId="160">
    <w:name w:val="font81"/>
    <w:basedOn w:val="37"/>
    <w:qFormat/>
    <w:uiPriority w:val="0"/>
    <w:rPr>
      <w:rFonts w:hint="default" w:ascii="Times New Roman" w:hAnsi="Times New Roman" w:cs="Times New Roman"/>
      <w:color w:val="000000"/>
      <w:sz w:val="20"/>
      <w:szCs w:val="20"/>
      <w:u w:val="none"/>
    </w:rPr>
  </w:style>
  <w:style w:type="paragraph" w:customStyle="1" w:styleId="161">
    <w:name w:val="WPSOffice手动目录 1"/>
    <w:qFormat/>
    <w:uiPriority w:val="0"/>
    <w:rPr>
      <w:rFonts w:ascii="Times New Roman" w:hAnsi="Times New Roman" w:eastAsia="宋体" w:cs="Times New Roman"/>
      <w:lang w:val="en-US" w:eastAsia="zh-CN" w:bidi="ar-SA"/>
    </w:rPr>
  </w:style>
  <w:style w:type="paragraph" w:customStyle="1" w:styleId="162">
    <w:name w:val="MTDisplayEquation"/>
    <w:basedOn w:val="1"/>
    <w:next w:val="1"/>
    <w:autoRedefine/>
    <w:qFormat/>
    <w:uiPriority w:val="0"/>
    <w:pPr>
      <w:widowControl/>
      <w:tabs>
        <w:tab w:val="center" w:pos="4338"/>
        <w:tab w:val="center" w:pos="4820"/>
        <w:tab w:val="right" w:pos="8675"/>
        <w:tab w:val="right" w:pos="9640"/>
      </w:tabs>
      <w:spacing w:line="240" w:lineRule="auto"/>
      <w:jc w:val="right"/>
    </w:pPr>
    <w:rPr>
      <w:kern w:val="0"/>
      <w:szCs w:val="21"/>
    </w:rPr>
  </w:style>
  <w:style w:type="character" w:customStyle="1" w:styleId="163">
    <w:name w:val="font51"/>
    <w:basedOn w:val="37"/>
    <w:autoRedefine/>
    <w:qFormat/>
    <w:uiPriority w:val="0"/>
    <w:rPr>
      <w:rFonts w:ascii="Calibri" w:hAnsi="Calibri" w:cs="Calibri"/>
      <w:color w:val="000000"/>
      <w:sz w:val="20"/>
      <w:szCs w:val="20"/>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jpeg"/><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BC0DA3-236A-43EB-B03B-0E59AD827F7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12518</Words>
  <Characters>15351</Characters>
  <Lines>131</Lines>
  <Paragraphs>37</Paragraphs>
  <TotalTime>0</TotalTime>
  <ScaleCrop>false</ScaleCrop>
  <LinksUpToDate>false</LinksUpToDate>
  <CharactersWithSpaces>16338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2022-04-10T13:13:00Z</dcterms:created>
  <dc:creator>CNIS</dc:creator>
  <cp:lastModifiedBy>瑞〰瑞®</cp:lastModifiedBy>
  <cp:lastPrinted>2015-07-22T01:19:00Z</cp:lastPrinted>
  <dcterms:modified xsi:type="dcterms:W3CDTF">2024-07-15T01:58:50Z</dcterms:modified>
  <dc:title>标准名称</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C74AABD6AB024A6FBCB3DDDAED217372_13</vt:lpwstr>
  </property>
</Properties>
</file>